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BD" w:rsidRPr="004D780C" w:rsidRDefault="000B65BD" w:rsidP="000B65BD">
      <w:pPr>
        <w:jc w:val="center"/>
      </w:pPr>
      <w:r w:rsidRPr="004D780C">
        <w:t>ПОЯСНИТЕЛЬНАЯ ЗАПИСКА</w:t>
      </w:r>
    </w:p>
    <w:p w:rsidR="000B65BD" w:rsidRPr="004D780C" w:rsidRDefault="000B65BD" w:rsidP="000B65BD">
      <w:pPr>
        <w:jc w:val="center"/>
      </w:pPr>
    </w:p>
    <w:p w:rsidR="00874FE6" w:rsidRPr="004D780C" w:rsidRDefault="00631760" w:rsidP="009F25E0">
      <w:pPr>
        <w:jc w:val="center"/>
      </w:pPr>
      <w:r w:rsidRPr="004D780C">
        <w:t>к</w:t>
      </w:r>
      <w:r w:rsidR="000B65BD" w:rsidRPr="004D780C">
        <w:t xml:space="preserve"> Среднесрочному финансовому плану </w:t>
      </w:r>
      <w:r w:rsidR="000B65BD" w:rsidRPr="004D780C">
        <w:br/>
      </w:r>
      <w:r w:rsidR="009F25E0" w:rsidRPr="005731E8">
        <w:t>внутригородского муниципального образования Муниципальный округ Невская застава на 20</w:t>
      </w:r>
      <w:r w:rsidR="008770C1">
        <w:t>2</w:t>
      </w:r>
      <w:r w:rsidR="00654E1E">
        <w:t>2</w:t>
      </w:r>
      <w:r w:rsidR="009F25E0" w:rsidRPr="005731E8">
        <w:t xml:space="preserve"> финансовый год и плановый период 20</w:t>
      </w:r>
      <w:r w:rsidR="00960FD7">
        <w:t>2</w:t>
      </w:r>
      <w:r w:rsidR="00654E1E">
        <w:t>3</w:t>
      </w:r>
      <w:r w:rsidR="009F25E0" w:rsidRPr="005731E8">
        <w:t>-20</w:t>
      </w:r>
      <w:r w:rsidR="00025416">
        <w:t>2</w:t>
      </w:r>
      <w:r w:rsidR="00654E1E">
        <w:t>4</w:t>
      </w:r>
      <w:r w:rsidR="009F25E0" w:rsidRPr="005731E8">
        <w:t xml:space="preserve"> гг.</w:t>
      </w:r>
      <w:r w:rsidR="000B65BD" w:rsidRPr="004D780C">
        <w:t xml:space="preserve"> </w:t>
      </w:r>
    </w:p>
    <w:p w:rsidR="000B65BD" w:rsidRDefault="000B65BD"/>
    <w:p w:rsidR="00F8589A" w:rsidRDefault="00F8589A" w:rsidP="00F8589A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Основные положения</w:t>
      </w:r>
    </w:p>
    <w:p w:rsidR="00F8589A" w:rsidRDefault="00F8589A" w:rsidP="00F8589A">
      <w:pPr>
        <w:jc w:val="both"/>
        <w:rPr>
          <w:color w:val="000000" w:themeColor="text1"/>
        </w:rPr>
      </w:pPr>
      <w:r>
        <w:tab/>
      </w:r>
      <w:proofErr w:type="gramStart"/>
      <w:r>
        <w:t>Среднесрочный финансовый  план внутригородского муниципального образования муниципальный округ Невская застава на 2022-2024 годы (далее - среднесрочный финансовый план МО) разработан в соответствии с Бюджетным кодексом Российской Федерации, Постановлением Местной Администрации Муниципального Образования Муниципальный округ Невская застава от 27 июня 2017</w:t>
      </w:r>
      <w:r>
        <w:rPr>
          <w:color w:val="FF0000"/>
        </w:rPr>
        <w:t xml:space="preserve"> </w:t>
      </w:r>
      <w:r>
        <w:rPr>
          <w:color w:val="000000" w:themeColor="text1"/>
        </w:rPr>
        <w:t>года № 61-п «Об утверждении Порядка разработки среднесрочного финансового плана внутригородского муниципального образования муниципальный округ Невская застава».</w:t>
      </w:r>
      <w:proofErr w:type="gramEnd"/>
    </w:p>
    <w:p w:rsidR="00F8589A" w:rsidRDefault="00F8589A" w:rsidP="00F8589A">
      <w:pPr>
        <w:jc w:val="both"/>
      </w:pPr>
      <w:r>
        <w:tab/>
        <w:t>Среднесрочный финансовый план МО на 2022-2024 годы является документом, содержащим основные параметры бюджета муниципального образования муниципальный округ Невская застава  на 2022 год.</w:t>
      </w:r>
    </w:p>
    <w:p w:rsidR="00F8589A" w:rsidRDefault="00F8589A" w:rsidP="00F8589A">
      <w:pPr>
        <w:jc w:val="both"/>
      </w:pPr>
      <w:r>
        <w:tab/>
        <w:t>Показатели среднесрочного финансового плана МО носят индикативный характер и могут быть изменены при разработке и утверждении среднесрочного финансового плана МО на очередной финансовый год.</w:t>
      </w:r>
    </w:p>
    <w:p w:rsidR="00F8589A" w:rsidRDefault="00F8589A" w:rsidP="00F8589A">
      <w:pPr>
        <w:jc w:val="both"/>
      </w:pPr>
      <w:r>
        <w:tab/>
        <w:t>Все расчеты на 2022-2024 годы выполнены в условиях действующего законодательства.</w:t>
      </w:r>
    </w:p>
    <w:p w:rsidR="00F8589A" w:rsidRDefault="00F8589A" w:rsidP="00F8589A">
      <w:pPr>
        <w:jc w:val="both"/>
      </w:pPr>
      <w:r>
        <w:tab/>
        <w:t>Формирование среднесрочного финансового плана на 2022-2024 годы происходит в условиях необходимости повышения эффективности бюджетных расходов, создания механизмов и условий для оценки их результативности и качества.</w:t>
      </w:r>
    </w:p>
    <w:p w:rsidR="00F8589A" w:rsidRDefault="00F8589A" w:rsidP="00F8589A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Доходы бюджета прогнозируются на основе прогноза социально-экономического развития муниципального образования, действующего на день внесения проекта  решения о бюджете в муниципальный совет, а также принятого на указанную дату и вступающего в силу в очередном финансовом году и плановом периоде законов Санкт-Петербурга, Российской Федерации и муниципальных правовых актов.</w:t>
      </w:r>
    </w:p>
    <w:p w:rsidR="00F8589A" w:rsidRDefault="00F8589A" w:rsidP="00F8589A">
      <w:pPr>
        <w:ind w:firstLine="709"/>
        <w:jc w:val="both"/>
      </w:pPr>
      <w:r>
        <w:t>Доходы</w:t>
      </w:r>
      <w:r>
        <w:rPr>
          <w:b/>
          <w:bCs/>
        </w:rPr>
        <w:t xml:space="preserve"> </w:t>
      </w:r>
      <w:r>
        <w:t>бюджета МО формируются за счет установленных налоговым, финансовым и бюджетным законодательством</w:t>
      </w:r>
      <w:r>
        <w:rPr>
          <w:i/>
          <w:iCs/>
        </w:rPr>
        <w:t xml:space="preserve"> </w:t>
      </w:r>
      <w:r>
        <w:t xml:space="preserve">собственных доходов и безвозмездных поступлений, включающие 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 и  субвенций на выполнение передаваемых отдельных государственных полномочий Санкт-Петербурга. </w:t>
      </w:r>
      <w:r>
        <w:tab/>
        <w:t>Расходная часть бюджета планируется исходя из расходов, определенных в муниципальных и ведомственных целевых программах и с учетом увеличения не программных расходов на величину индекса инфляции на соответствующий год.</w:t>
      </w:r>
    </w:p>
    <w:p w:rsidR="00F8589A" w:rsidRDefault="00F8589A" w:rsidP="00F8589A">
      <w:pPr>
        <w:jc w:val="both"/>
      </w:pPr>
      <w:r>
        <w:tab/>
        <w:t xml:space="preserve">Прогнозирование расходной части бюджета по главным распорядителям бюджетных средств по разделам, подразделам, целевым статьям и видам расходов классификации расходов бюджета на 2022-2024 годы осуществлялось, исходя из структуры расходов, сложившейся при формировании  бюджета на 2021 год. Эффективность бюджетных расходов обусловлена формированием и исполнением бюджета на основе муниципальных и ведомственных целевых программ. В 2022 году в муниципальном образовании  будут реализованы 3 муниципальные программы  и 7 </w:t>
      </w:r>
      <w:proofErr w:type="gramStart"/>
      <w:r>
        <w:t>ведомственных</w:t>
      </w:r>
      <w:proofErr w:type="gramEnd"/>
      <w:r>
        <w:t xml:space="preserve"> целевых  программы. Приоритетным направлением деятельности остается благоустройство территории муниципального образования.</w:t>
      </w:r>
    </w:p>
    <w:p w:rsidR="00F8589A" w:rsidRDefault="00F8589A" w:rsidP="00F8589A">
      <w:pPr>
        <w:jc w:val="both"/>
      </w:pPr>
      <w:r>
        <w:tab/>
        <w:t>Главным критерием эффективности бюджетной политики муниципального образования муниципальный округ Невская застава остается улучшение качества повседневной жизни граждан, проживающих на территории муниципального округа</w:t>
      </w:r>
    </w:p>
    <w:p w:rsidR="00F8589A" w:rsidRDefault="00F8589A" w:rsidP="00F8589A">
      <w:pPr>
        <w:jc w:val="both"/>
      </w:pPr>
    </w:p>
    <w:p w:rsidR="00F8589A" w:rsidRDefault="00F8589A" w:rsidP="00F8589A">
      <w:pPr>
        <w:jc w:val="both"/>
      </w:pPr>
    </w:p>
    <w:p w:rsidR="00F8589A" w:rsidRDefault="00F8589A" w:rsidP="00F8589A">
      <w:pPr>
        <w:jc w:val="both"/>
        <w:rPr>
          <w:b/>
          <w:bCs/>
        </w:rPr>
      </w:pPr>
    </w:p>
    <w:p w:rsidR="00F8589A" w:rsidRDefault="00F8589A" w:rsidP="00F8589A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lastRenderedPageBreak/>
        <w:t>Параметры среднесрочного финансового плана</w:t>
      </w:r>
    </w:p>
    <w:p w:rsidR="00F8589A" w:rsidRDefault="00F8589A" w:rsidP="00F8589A">
      <w:pPr>
        <w:ind w:firstLine="709"/>
        <w:jc w:val="both"/>
      </w:pPr>
      <w:r>
        <w:t>Среднесрочный финансовый план на 2022год и плановый период на 2023-2024 годы разработан путем уточнения параметров среднесрочного финансового плана на 2021-20223годы и добавления параметров на 2024год.</w:t>
      </w:r>
    </w:p>
    <w:p w:rsidR="00F8589A" w:rsidRDefault="00F8589A" w:rsidP="00F8589A">
      <w:pPr>
        <w:ind w:firstLine="709"/>
        <w:jc w:val="center"/>
        <w:rPr>
          <w:b/>
          <w:bCs/>
        </w:rPr>
      </w:pPr>
    </w:p>
    <w:p w:rsidR="00F8589A" w:rsidRDefault="00F8589A" w:rsidP="00F8589A">
      <w:pPr>
        <w:ind w:firstLine="709"/>
        <w:jc w:val="center"/>
        <w:rPr>
          <w:b/>
          <w:bCs/>
        </w:rPr>
      </w:pPr>
      <w:r>
        <w:rPr>
          <w:b/>
          <w:bCs/>
        </w:rPr>
        <w:t>Уточнение параметров среднесрочного финансового плана</w:t>
      </w:r>
    </w:p>
    <w:p w:rsidR="00F8589A" w:rsidRDefault="00F8589A" w:rsidP="00F8589A">
      <w:pPr>
        <w:spacing w:after="120"/>
        <w:ind w:firstLine="709"/>
        <w:jc w:val="right"/>
      </w:pPr>
      <w:r>
        <w:t>тыс. руб.</w:t>
      </w:r>
    </w:p>
    <w:tbl>
      <w:tblPr>
        <w:tblStyle w:val="a6"/>
        <w:tblW w:w="10308" w:type="dxa"/>
        <w:jc w:val="center"/>
        <w:tblLayout w:type="fixed"/>
        <w:tblLook w:val="04A0"/>
      </w:tblPr>
      <w:tblGrid>
        <w:gridCol w:w="1357"/>
        <w:gridCol w:w="1598"/>
        <w:gridCol w:w="1603"/>
        <w:gridCol w:w="1220"/>
        <w:gridCol w:w="1631"/>
        <w:gridCol w:w="1511"/>
        <w:gridCol w:w="1388"/>
      </w:tblGrid>
      <w:tr w:rsidR="00F8589A" w:rsidTr="00F8589A">
        <w:trPr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9A" w:rsidRDefault="00F8589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</w:t>
            </w:r>
            <w:r>
              <w:rPr>
                <w:sz w:val="20"/>
                <w:szCs w:val="20"/>
                <w:lang w:eastAsia="en-US"/>
              </w:rPr>
              <w:softHyphen/>
              <w:t>вание показателя</w:t>
            </w:r>
          </w:p>
        </w:tc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9A" w:rsidRDefault="00F85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9A" w:rsidRDefault="00F85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2023год</w:t>
            </w:r>
          </w:p>
        </w:tc>
      </w:tr>
      <w:tr w:rsidR="00F8589A" w:rsidTr="00F8589A">
        <w:trPr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9A" w:rsidRDefault="00F858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9A" w:rsidRDefault="00F8589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среднесроч-ному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финан-совому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плану на 2021-2023 годы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9A" w:rsidRDefault="00F8589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среднесроч-ному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финан-совому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плану на 2022-2024 годы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9A" w:rsidRDefault="00F8589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Уточнение +/-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9A" w:rsidRDefault="00F8589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среднесроч-ному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финан-совому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плану на 2021-2023годы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9A" w:rsidRDefault="00F8589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среднесроч-ному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финан-совому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плану на 2022-2024 годы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9A" w:rsidRDefault="00F8589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Уточнение +/-</w:t>
            </w:r>
          </w:p>
        </w:tc>
      </w:tr>
      <w:tr w:rsidR="00F8589A" w:rsidTr="00F8589A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9A" w:rsidRDefault="00F858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9A" w:rsidRDefault="00F858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83500,0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9A" w:rsidRDefault="00F858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83900,0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9A" w:rsidRDefault="00F858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+400,0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9A" w:rsidRDefault="00F858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86700,0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9A" w:rsidRDefault="00F858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86400,0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9A" w:rsidRDefault="00F858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-300,0</w:t>
            </w:r>
          </w:p>
        </w:tc>
      </w:tr>
      <w:tr w:rsidR="00F8589A" w:rsidTr="00F8589A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9A" w:rsidRDefault="00F858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9A" w:rsidRDefault="00F858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83500,0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9A" w:rsidRDefault="00F858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84000,0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9A" w:rsidRDefault="00F858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+500,0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9A" w:rsidRDefault="00F858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86700,0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9A" w:rsidRDefault="00F858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86400,0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9A" w:rsidRDefault="00F858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-300,0</w:t>
            </w:r>
          </w:p>
        </w:tc>
      </w:tr>
      <w:tr w:rsidR="00F8589A" w:rsidTr="00F8589A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9A" w:rsidRDefault="00F858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Дефицит</w:t>
            </w:r>
            <w:proofErr w:type="gramStart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  <w:t>(-)/</w:t>
            </w:r>
            <w:r>
              <w:rPr>
                <w:lang w:eastAsia="en-US"/>
              </w:rPr>
              <w:br/>
            </w:r>
            <w:proofErr w:type="spellStart"/>
            <w:proofErr w:type="gramEnd"/>
            <w:r>
              <w:rPr>
                <w:lang w:eastAsia="en-US"/>
              </w:rPr>
              <w:t>Профицит</w:t>
            </w:r>
            <w:proofErr w:type="spellEnd"/>
            <w:r>
              <w:rPr>
                <w:lang w:eastAsia="en-US"/>
              </w:rPr>
              <w:t xml:space="preserve"> (+)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A" w:rsidRDefault="00F8589A">
            <w:pPr>
              <w:jc w:val="both"/>
              <w:rPr>
                <w:lang w:eastAsia="en-US"/>
              </w:rPr>
            </w:pPr>
          </w:p>
          <w:p w:rsidR="00F8589A" w:rsidRDefault="00F8589A">
            <w:pPr>
              <w:jc w:val="both"/>
              <w:rPr>
                <w:lang w:eastAsia="en-US"/>
              </w:rPr>
            </w:pPr>
          </w:p>
          <w:p w:rsidR="00F8589A" w:rsidRDefault="00F8589A">
            <w:pPr>
              <w:jc w:val="both"/>
              <w:rPr>
                <w:lang w:eastAsia="en-US"/>
              </w:rPr>
            </w:pPr>
          </w:p>
          <w:p w:rsidR="00F8589A" w:rsidRDefault="00F858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A" w:rsidRDefault="00F8589A">
            <w:pPr>
              <w:jc w:val="both"/>
              <w:rPr>
                <w:lang w:eastAsia="en-US"/>
              </w:rPr>
            </w:pPr>
          </w:p>
          <w:p w:rsidR="00F8589A" w:rsidRDefault="00F8589A">
            <w:pPr>
              <w:jc w:val="both"/>
              <w:rPr>
                <w:lang w:eastAsia="en-US"/>
              </w:rPr>
            </w:pPr>
          </w:p>
          <w:p w:rsidR="00F8589A" w:rsidRDefault="00F8589A">
            <w:pPr>
              <w:jc w:val="both"/>
              <w:rPr>
                <w:lang w:eastAsia="en-US"/>
              </w:rPr>
            </w:pPr>
          </w:p>
          <w:p w:rsidR="00F8589A" w:rsidRDefault="00F858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-100,0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A" w:rsidRDefault="00F8589A">
            <w:pPr>
              <w:jc w:val="both"/>
              <w:rPr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9A" w:rsidRDefault="00F858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9A" w:rsidRDefault="00F858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9A" w:rsidRDefault="00F858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  <w:p w:rsidR="00F8589A" w:rsidRDefault="00F858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F8589A" w:rsidRDefault="00F8589A" w:rsidP="00F8589A">
      <w:pPr>
        <w:ind w:firstLine="709"/>
        <w:jc w:val="center"/>
      </w:pPr>
    </w:p>
    <w:p w:rsidR="00F8589A" w:rsidRDefault="00F8589A" w:rsidP="00F8589A">
      <w:pPr>
        <w:ind w:firstLine="709"/>
        <w:jc w:val="center"/>
      </w:pPr>
      <w:r>
        <w:t>Доходы</w:t>
      </w:r>
    </w:p>
    <w:p w:rsidR="00F8589A" w:rsidRDefault="00F8589A" w:rsidP="00F8589A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Уточнение объема доходов на 2022 год по прогнозу доходов на 2022 год и плановый период 2023-2024год произведено с учетом фактического поступления доходов в 2021 году. При расчете прогноза доходов использованы рекомендованные Комитетом Финансов   прогноз индекса потребительских цен, распределение дотаций на выравнивание бюджетной обеспеченности внутригородских муниципальных образований города федерального значения Санкт-Петербурга и распределение субвенций бюджетам внутригородских муниципальных образований города федерального значения Санкт-Петербурга на исполнение органами местного самоуправления в Санкт-Петербурге отдельного государственного полномочия Санкт-Петербурга в соответствии с проектом Закона</w:t>
      </w:r>
      <w:proofErr w:type="gramStart"/>
      <w:r>
        <w:rPr>
          <w:color w:val="000000" w:themeColor="text1"/>
        </w:rPr>
        <w:t xml:space="preserve"> С</w:t>
      </w:r>
      <w:proofErr w:type="gramEnd"/>
      <w:r>
        <w:rPr>
          <w:color w:val="000000" w:themeColor="text1"/>
        </w:rPr>
        <w:t xml:space="preserve">анкт- Петербурга «О бюджете Санкт-Петербурга  на 2022 год и на плановый период 2023 и 2024 годов», прогнозная оценка поступлений по НДФЛ в бюджет муниципального образования, предоставленная </w:t>
      </w:r>
      <w:proofErr w:type="gramStart"/>
      <w:r>
        <w:rPr>
          <w:color w:val="000000" w:themeColor="text1"/>
        </w:rPr>
        <w:t>Межрайонной</w:t>
      </w:r>
      <w:proofErr w:type="gramEnd"/>
      <w:r>
        <w:rPr>
          <w:color w:val="000000" w:themeColor="text1"/>
        </w:rPr>
        <w:t xml:space="preserve"> ИФНС №24.</w:t>
      </w:r>
    </w:p>
    <w:p w:rsidR="00F8589A" w:rsidRDefault="00F8589A" w:rsidP="00F8589A">
      <w:pPr>
        <w:ind w:firstLine="709"/>
        <w:jc w:val="both"/>
        <w:rPr>
          <w:rFonts w:ascii="Open Sans" w:hAnsi="Open Sans"/>
          <w:color w:val="180701"/>
          <w:sz w:val="23"/>
          <w:szCs w:val="23"/>
        </w:rPr>
      </w:pPr>
      <w:r>
        <w:rPr>
          <w:color w:val="000000" w:themeColor="text1"/>
        </w:rPr>
        <w:t>Поступление доходов на  2022 планируется с незначительным (101,0%) увеличением, на 2023 год с незначительным уменьшением</w:t>
      </w:r>
    </w:p>
    <w:p w:rsidR="00F8589A" w:rsidRDefault="00F8589A" w:rsidP="00F8589A">
      <w:pPr>
        <w:ind w:firstLine="709"/>
        <w:jc w:val="center"/>
      </w:pPr>
    </w:p>
    <w:p w:rsidR="00F8589A" w:rsidRDefault="00F8589A" w:rsidP="00F8589A">
      <w:pPr>
        <w:ind w:firstLine="709"/>
        <w:jc w:val="center"/>
      </w:pPr>
      <w:r>
        <w:t>Расходы</w:t>
      </w:r>
    </w:p>
    <w:p w:rsidR="00F8589A" w:rsidRDefault="00F8589A" w:rsidP="00F8589A">
      <w:pPr>
        <w:ind w:firstLine="709"/>
        <w:jc w:val="center"/>
      </w:pPr>
    </w:p>
    <w:p w:rsidR="00F8589A" w:rsidRDefault="00F8589A" w:rsidP="00F8589A">
      <w:pPr>
        <w:ind w:firstLine="708"/>
        <w:jc w:val="both"/>
      </w:pPr>
      <w:proofErr w:type="gramStart"/>
      <w:r>
        <w:t>Уточнение объёма расходов в 2022 году по прогнозу расходов на 2022 год и плановый период 2023-2024 годы произведено для достижения сбалансированности бюджета в связи с планируемым  поступления доходов, соответственно планируется незначительное увеличение расходов на 2022 год и незначительное уменьшение расходов на 2023 год по сравнению с прогнозом на 2021-2023 годы.</w:t>
      </w:r>
      <w:proofErr w:type="gramEnd"/>
      <w:r>
        <w:t xml:space="preserve"> В 2022 году приоритетными остаются расходы на благоустройство территории, ежегодно составляющие большую долю расходной части бюджета. Расходы на данный раздел в 2022 году составят 34647,6</w:t>
      </w:r>
      <w:r>
        <w:rPr>
          <w:color w:val="FF0000"/>
        </w:rPr>
        <w:t xml:space="preserve"> </w:t>
      </w:r>
      <w:r>
        <w:rPr>
          <w:color w:val="000000" w:themeColor="text1"/>
        </w:rPr>
        <w:t>тыс. руб., или 42,0%</w:t>
      </w:r>
      <w:r>
        <w:t xml:space="preserve"> от общего объема расходов.</w:t>
      </w:r>
      <w:r>
        <w:rPr>
          <w:color w:val="FF0000"/>
        </w:rPr>
        <w:t xml:space="preserve"> </w:t>
      </w:r>
      <w:r>
        <w:rPr>
          <w:color w:val="000000" w:themeColor="text1"/>
        </w:rPr>
        <w:t>Финансирование расходов</w:t>
      </w:r>
      <w:r>
        <w:rPr>
          <w:color w:val="FF0000"/>
        </w:rPr>
        <w:t xml:space="preserve"> </w:t>
      </w:r>
      <w:r>
        <w:t xml:space="preserve"> на плановый период 2023 и 2024 годов определено исходя из расходов, определенных в  муниципальных программах и ведомственных целевых программах и с учетом увеличения не программных расходов на величину индекса инфляции на соответствующий год.</w:t>
      </w:r>
    </w:p>
    <w:p w:rsidR="00F8589A" w:rsidRDefault="00F8589A" w:rsidP="00F8589A">
      <w:pPr>
        <w:ind w:firstLine="709"/>
        <w:jc w:val="both"/>
      </w:pPr>
    </w:p>
    <w:p w:rsidR="00F8589A" w:rsidRDefault="00F8589A" w:rsidP="00F8589A">
      <w:pPr>
        <w:ind w:firstLine="709"/>
        <w:jc w:val="center"/>
      </w:pPr>
      <w:r>
        <w:t>Дефицит бюджета</w:t>
      </w:r>
    </w:p>
    <w:p w:rsidR="00F8589A" w:rsidRDefault="00F8589A" w:rsidP="00F8589A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Среднесрочный финансовый план на 2022 год планируется с дефицитом 100тыс. руб., на  2023,2024 годы планируется, как и в среднесрочном финансовом плане на 2021-2023годы, без дефицита</w:t>
      </w:r>
    </w:p>
    <w:p w:rsidR="00F8589A" w:rsidRDefault="00F8589A" w:rsidP="00F8589A">
      <w:pPr>
        <w:ind w:firstLine="709"/>
        <w:jc w:val="center"/>
      </w:pPr>
    </w:p>
    <w:p w:rsidR="00F8589A" w:rsidRDefault="00F8589A" w:rsidP="00F8589A">
      <w:pPr>
        <w:ind w:firstLine="709"/>
        <w:jc w:val="center"/>
      </w:pPr>
      <w:r>
        <w:t>Верхний предел муниципального долга</w:t>
      </w:r>
    </w:p>
    <w:p w:rsidR="00F8589A" w:rsidRDefault="00F8589A" w:rsidP="00F8589A">
      <w:pPr>
        <w:jc w:val="both"/>
      </w:pPr>
      <w:r>
        <w:t>Верхний предел муниципального долга по состоянию на 01 января 2022 года составляет 0,0 тысяч рублей.</w:t>
      </w:r>
    </w:p>
    <w:p w:rsidR="00F8589A" w:rsidRDefault="00F8589A" w:rsidP="00F8589A">
      <w:pPr>
        <w:jc w:val="both"/>
      </w:pPr>
      <w:r>
        <w:t>Верхний предел муниципального долга по состоянию на 01 января 2023 года составляет 0,0 тысяч рублей.</w:t>
      </w:r>
    </w:p>
    <w:p w:rsidR="00F8589A" w:rsidRDefault="00F8589A" w:rsidP="00F8589A">
      <w:pPr>
        <w:jc w:val="both"/>
        <w:rPr>
          <w:color w:val="000000" w:themeColor="text1"/>
        </w:rPr>
      </w:pPr>
      <w:r>
        <w:t>Верхний предел муниципального долга по состоянию на 01 января 2024 года составляет 0,0 тысяч рублей.</w:t>
      </w:r>
    </w:p>
    <w:p w:rsidR="004722B8" w:rsidRDefault="004722B8" w:rsidP="00F8589A">
      <w:pPr>
        <w:numPr>
          <w:ilvl w:val="0"/>
          <w:numId w:val="1"/>
        </w:numPr>
        <w:rPr>
          <w:color w:val="000000" w:themeColor="text1"/>
        </w:rPr>
      </w:pPr>
    </w:p>
    <w:sectPr w:rsidR="004722B8" w:rsidSect="0068626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F2470"/>
    <w:multiLevelType w:val="hybridMultilevel"/>
    <w:tmpl w:val="891E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ECB"/>
    <w:rsid w:val="0000384E"/>
    <w:rsid w:val="0002227B"/>
    <w:rsid w:val="00025416"/>
    <w:rsid w:val="00062C9C"/>
    <w:rsid w:val="00064C59"/>
    <w:rsid w:val="0007638D"/>
    <w:rsid w:val="000A30A0"/>
    <w:rsid w:val="000B016A"/>
    <w:rsid w:val="000B21D1"/>
    <w:rsid w:val="000B65BD"/>
    <w:rsid w:val="000E1FAB"/>
    <w:rsid w:val="000F2CAC"/>
    <w:rsid w:val="000F3077"/>
    <w:rsid w:val="00153A56"/>
    <w:rsid w:val="00166BF0"/>
    <w:rsid w:val="00193D17"/>
    <w:rsid w:val="00194735"/>
    <w:rsid w:val="001A064F"/>
    <w:rsid w:val="001B4111"/>
    <w:rsid w:val="001C30BD"/>
    <w:rsid w:val="001D7F12"/>
    <w:rsid w:val="001E1657"/>
    <w:rsid w:val="001F2533"/>
    <w:rsid w:val="002057A5"/>
    <w:rsid w:val="00217757"/>
    <w:rsid w:val="00230844"/>
    <w:rsid w:val="00231726"/>
    <w:rsid w:val="00235421"/>
    <w:rsid w:val="00245ECB"/>
    <w:rsid w:val="002473BE"/>
    <w:rsid w:val="00247BA3"/>
    <w:rsid w:val="00262C20"/>
    <w:rsid w:val="00264B90"/>
    <w:rsid w:val="002867B8"/>
    <w:rsid w:val="002B2354"/>
    <w:rsid w:val="002B3E1D"/>
    <w:rsid w:val="002D149F"/>
    <w:rsid w:val="002F7E39"/>
    <w:rsid w:val="00306F68"/>
    <w:rsid w:val="003133F7"/>
    <w:rsid w:val="0031360F"/>
    <w:rsid w:val="003144B9"/>
    <w:rsid w:val="00341A7D"/>
    <w:rsid w:val="003527E7"/>
    <w:rsid w:val="00352E49"/>
    <w:rsid w:val="00373BEA"/>
    <w:rsid w:val="003A28A7"/>
    <w:rsid w:val="003F76BE"/>
    <w:rsid w:val="0040162E"/>
    <w:rsid w:val="00414E2F"/>
    <w:rsid w:val="0045000B"/>
    <w:rsid w:val="004538DA"/>
    <w:rsid w:val="004722B8"/>
    <w:rsid w:val="0047443E"/>
    <w:rsid w:val="0047772C"/>
    <w:rsid w:val="00480958"/>
    <w:rsid w:val="004857CA"/>
    <w:rsid w:val="004A4CFF"/>
    <w:rsid w:val="004B7EC3"/>
    <w:rsid w:val="004D5665"/>
    <w:rsid w:val="004D780C"/>
    <w:rsid w:val="005006AE"/>
    <w:rsid w:val="00504518"/>
    <w:rsid w:val="00516506"/>
    <w:rsid w:val="00525129"/>
    <w:rsid w:val="005258EE"/>
    <w:rsid w:val="00545B32"/>
    <w:rsid w:val="00565E8E"/>
    <w:rsid w:val="005731E8"/>
    <w:rsid w:val="00575F29"/>
    <w:rsid w:val="00594BB7"/>
    <w:rsid w:val="005A09CA"/>
    <w:rsid w:val="005B5E92"/>
    <w:rsid w:val="005C264A"/>
    <w:rsid w:val="005D724E"/>
    <w:rsid w:val="00631760"/>
    <w:rsid w:val="00645539"/>
    <w:rsid w:val="00654E1E"/>
    <w:rsid w:val="00683DE9"/>
    <w:rsid w:val="00686263"/>
    <w:rsid w:val="00690C63"/>
    <w:rsid w:val="006C7021"/>
    <w:rsid w:val="006D01D7"/>
    <w:rsid w:val="006D716D"/>
    <w:rsid w:val="006E356E"/>
    <w:rsid w:val="006E68FA"/>
    <w:rsid w:val="006F6810"/>
    <w:rsid w:val="007229C9"/>
    <w:rsid w:val="00724B4F"/>
    <w:rsid w:val="0076226D"/>
    <w:rsid w:val="0077464F"/>
    <w:rsid w:val="00775832"/>
    <w:rsid w:val="00775B4C"/>
    <w:rsid w:val="00782768"/>
    <w:rsid w:val="00786E1D"/>
    <w:rsid w:val="007C047C"/>
    <w:rsid w:val="007F2503"/>
    <w:rsid w:val="008024D4"/>
    <w:rsid w:val="008122F3"/>
    <w:rsid w:val="00820998"/>
    <w:rsid w:val="00823007"/>
    <w:rsid w:val="00834B2B"/>
    <w:rsid w:val="00845009"/>
    <w:rsid w:val="00854CFE"/>
    <w:rsid w:val="00864855"/>
    <w:rsid w:val="00874FE6"/>
    <w:rsid w:val="008770C1"/>
    <w:rsid w:val="00884659"/>
    <w:rsid w:val="0088632A"/>
    <w:rsid w:val="008B57D7"/>
    <w:rsid w:val="008C5213"/>
    <w:rsid w:val="008D4685"/>
    <w:rsid w:val="0092160C"/>
    <w:rsid w:val="009414DF"/>
    <w:rsid w:val="00960FD7"/>
    <w:rsid w:val="00965369"/>
    <w:rsid w:val="009828C0"/>
    <w:rsid w:val="0098687B"/>
    <w:rsid w:val="009C319F"/>
    <w:rsid w:val="009F110A"/>
    <w:rsid w:val="009F25E0"/>
    <w:rsid w:val="009F4645"/>
    <w:rsid w:val="00A62448"/>
    <w:rsid w:val="00A63DFA"/>
    <w:rsid w:val="00A6519D"/>
    <w:rsid w:val="00A65386"/>
    <w:rsid w:val="00A92C50"/>
    <w:rsid w:val="00A952E0"/>
    <w:rsid w:val="00AA3969"/>
    <w:rsid w:val="00AC0D02"/>
    <w:rsid w:val="00AD32E0"/>
    <w:rsid w:val="00B04D89"/>
    <w:rsid w:val="00B274F9"/>
    <w:rsid w:val="00B31611"/>
    <w:rsid w:val="00B41A3C"/>
    <w:rsid w:val="00B833F3"/>
    <w:rsid w:val="00B86349"/>
    <w:rsid w:val="00B928CC"/>
    <w:rsid w:val="00BA7D4B"/>
    <w:rsid w:val="00BD4792"/>
    <w:rsid w:val="00BF4D25"/>
    <w:rsid w:val="00C14238"/>
    <w:rsid w:val="00C552FB"/>
    <w:rsid w:val="00CB73CD"/>
    <w:rsid w:val="00CD12A1"/>
    <w:rsid w:val="00CD35C5"/>
    <w:rsid w:val="00CF44F0"/>
    <w:rsid w:val="00CF60A0"/>
    <w:rsid w:val="00D042EF"/>
    <w:rsid w:val="00D11967"/>
    <w:rsid w:val="00D301B9"/>
    <w:rsid w:val="00D4028A"/>
    <w:rsid w:val="00D4089F"/>
    <w:rsid w:val="00D41A43"/>
    <w:rsid w:val="00D474D8"/>
    <w:rsid w:val="00D54ED2"/>
    <w:rsid w:val="00D56665"/>
    <w:rsid w:val="00D732BE"/>
    <w:rsid w:val="00D81863"/>
    <w:rsid w:val="00D81C11"/>
    <w:rsid w:val="00D86774"/>
    <w:rsid w:val="00D9408B"/>
    <w:rsid w:val="00DA6C71"/>
    <w:rsid w:val="00DB3F1F"/>
    <w:rsid w:val="00DE0F83"/>
    <w:rsid w:val="00DE1951"/>
    <w:rsid w:val="00E014AB"/>
    <w:rsid w:val="00E05118"/>
    <w:rsid w:val="00E238BA"/>
    <w:rsid w:val="00E37C93"/>
    <w:rsid w:val="00E47D02"/>
    <w:rsid w:val="00E6395A"/>
    <w:rsid w:val="00E703EF"/>
    <w:rsid w:val="00E71CD4"/>
    <w:rsid w:val="00E73DBE"/>
    <w:rsid w:val="00E7404E"/>
    <w:rsid w:val="00E76193"/>
    <w:rsid w:val="00E86EEA"/>
    <w:rsid w:val="00EC5AF7"/>
    <w:rsid w:val="00F04D74"/>
    <w:rsid w:val="00F46FD0"/>
    <w:rsid w:val="00F76F27"/>
    <w:rsid w:val="00F8589A"/>
    <w:rsid w:val="00FA3F6D"/>
    <w:rsid w:val="00FA7A21"/>
    <w:rsid w:val="00FD3979"/>
    <w:rsid w:val="00FE1129"/>
    <w:rsid w:val="00FF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BD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66BF0"/>
    <w:pPr>
      <w:autoSpaceDE w:val="0"/>
      <w:autoSpaceDN w:val="0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66B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uiPriority w:val="99"/>
    <w:qFormat/>
    <w:rsid w:val="00166BF0"/>
    <w:rPr>
      <w:rFonts w:cs="Times New Roman"/>
      <w:i/>
      <w:iCs/>
    </w:rPr>
  </w:style>
  <w:style w:type="table" w:styleId="a6">
    <w:name w:val="Table Grid"/>
    <w:basedOn w:val="a1"/>
    <w:uiPriority w:val="59"/>
    <w:rsid w:val="004D7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947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735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31360F"/>
    <w:rPr>
      <w:color w:val="0000FF"/>
      <w:u w:val="single"/>
      <w:shd w:val="clear" w:color="auto" w:fill="auto"/>
    </w:rPr>
  </w:style>
  <w:style w:type="paragraph" w:styleId="aa">
    <w:name w:val="Normal (Web)"/>
    <w:basedOn w:val="a"/>
    <w:uiPriority w:val="99"/>
    <w:semiHidden/>
    <w:unhideWhenUsed/>
    <w:rsid w:val="0031360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BD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66BF0"/>
    <w:pPr>
      <w:autoSpaceDE w:val="0"/>
      <w:autoSpaceDN w:val="0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66B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uiPriority w:val="99"/>
    <w:qFormat/>
    <w:rsid w:val="00166BF0"/>
    <w:rPr>
      <w:rFonts w:cs="Times New Roman"/>
      <w:i/>
      <w:iCs/>
    </w:rPr>
  </w:style>
  <w:style w:type="table" w:styleId="a6">
    <w:name w:val="Table Grid"/>
    <w:basedOn w:val="a1"/>
    <w:uiPriority w:val="59"/>
    <w:rsid w:val="004D7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947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73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buh2</cp:lastModifiedBy>
  <cp:revision>97</cp:revision>
  <cp:lastPrinted>2019-10-29T11:19:00Z</cp:lastPrinted>
  <dcterms:created xsi:type="dcterms:W3CDTF">2014-09-19T07:11:00Z</dcterms:created>
  <dcterms:modified xsi:type="dcterms:W3CDTF">2021-10-22T07:13:00Z</dcterms:modified>
</cp:coreProperties>
</file>