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0B65BD" w:rsidRPr="004D780C" w:rsidRDefault="00631760" w:rsidP="000B65BD">
      <w:pPr>
        <w:jc w:val="center"/>
      </w:pPr>
      <w:r w:rsidRPr="004D780C">
        <w:t>к</w:t>
      </w:r>
      <w:r w:rsidR="000B65BD" w:rsidRPr="004D780C">
        <w:t xml:space="preserve"> </w:t>
      </w:r>
      <w:r w:rsidR="004A17B8">
        <w:t xml:space="preserve">Прогнозу социально-экономического </w:t>
      </w:r>
      <w:proofErr w:type="gramStart"/>
      <w:r w:rsidR="004A17B8">
        <w:t>развития</w:t>
      </w:r>
      <w:r w:rsidR="000B65BD" w:rsidRPr="004D780C">
        <w:t xml:space="preserve"> </w:t>
      </w:r>
      <w:r w:rsidR="000B65BD" w:rsidRPr="004D780C">
        <w:br/>
      </w:r>
      <w:r w:rsidR="00102BBD">
        <w:t>внутригородского муниципального образования города федерального значения Санкт-Петербурга</w:t>
      </w:r>
      <w:proofErr w:type="gramEnd"/>
      <w:r w:rsidR="00102BBD">
        <w:t xml:space="preserve"> муниципальный округ Невская застава на 202</w:t>
      </w:r>
      <w:r w:rsidR="006F3674">
        <w:t>4</w:t>
      </w:r>
      <w:r w:rsidR="00102BBD">
        <w:t>-202</w:t>
      </w:r>
      <w:r w:rsidR="006F3674">
        <w:t>6</w:t>
      </w:r>
      <w:r w:rsidR="00102BBD">
        <w:t xml:space="preserve"> годы</w:t>
      </w:r>
    </w:p>
    <w:p w:rsidR="00874FE6" w:rsidRPr="004D780C" w:rsidRDefault="00874FE6"/>
    <w:p w:rsidR="00E10E79" w:rsidRDefault="00E10E79" w:rsidP="00E10E79">
      <w:pPr>
        <w:jc w:val="center"/>
      </w:pPr>
      <w:r>
        <w:t>Обоснование параметров прогноза</w:t>
      </w:r>
    </w:p>
    <w:p w:rsidR="00AD76DF" w:rsidRDefault="00AD76DF" w:rsidP="00AD76DF">
      <w:pPr>
        <w:ind w:firstLine="709"/>
        <w:jc w:val="both"/>
      </w:pPr>
      <w:r>
        <w:t>Основные параметры Прогноза социально-экономического развития на 202</w:t>
      </w:r>
      <w:r w:rsidR="006F3674">
        <w:t>4</w:t>
      </w:r>
      <w:r>
        <w:t xml:space="preserve"> год и на плановый период 202</w:t>
      </w:r>
      <w:r w:rsidR="006F3674">
        <w:t>5</w:t>
      </w:r>
      <w:r>
        <w:t xml:space="preserve"> и 202</w:t>
      </w:r>
      <w:r w:rsidR="006F3674">
        <w:t>6</w:t>
      </w:r>
      <w:r>
        <w:t xml:space="preserve"> годов разрабатываются исходя из динамики показателей за предыдущие годы, тенденций развития экономики и социальной сферы. </w:t>
      </w:r>
    </w:p>
    <w:p w:rsidR="00AD76DF" w:rsidRDefault="00AD76DF" w:rsidP="00AD76DF">
      <w:pPr>
        <w:ind w:firstLine="709"/>
        <w:jc w:val="both"/>
      </w:pPr>
      <w:r>
        <w:t>Прогноз разработан</w:t>
      </w:r>
      <w:r w:rsidR="004B6B9A">
        <w:t xml:space="preserve"> в соответствии с</w:t>
      </w:r>
      <w:r>
        <w:t xml:space="preserve"> Закон</w:t>
      </w:r>
      <w:r w:rsidR="006F3674">
        <w:t>ом</w:t>
      </w:r>
      <w:r>
        <w:t xml:space="preserve"> Санкт-Петербурга  от 23.09.2020 года № 419-94</w:t>
      </w:r>
      <w:r w:rsidR="006F3674">
        <w:t xml:space="preserve"> в редакции от 21.12.2022 года</w:t>
      </w:r>
      <w:r>
        <w:t xml:space="preserve"> «О межбюджетных трансфертах бюджетам внутригородских муниципальных образований</w:t>
      </w:r>
      <w:r w:rsidR="006F3674">
        <w:t xml:space="preserve"> города федерального значения</w:t>
      </w:r>
      <w:r>
        <w:t xml:space="preserve"> Санкт-Петербурга из бюджета Санкт-Петербурга». Определение объема и распределение между муниципальными образованиями дотаций на выравнивание бюджетной обеспеченности муниципальных образований осуществляются в соответствии с Порядком определения объема и распределения дотаций на выравнивание бюджетной </w:t>
      </w:r>
      <w:proofErr w:type="gramStart"/>
      <w:r>
        <w:t xml:space="preserve">обеспеченности внутригородских муниципальных образований </w:t>
      </w:r>
      <w:r w:rsidR="004B6B9A">
        <w:t xml:space="preserve">города федерального значения </w:t>
      </w:r>
      <w:r>
        <w:t>Санкт-Петербурга</w:t>
      </w:r>
      <w:proofErr w:type="gramEnd"/>
      <w:r>
        <w:t>. Объем и распределение между муниципальными образованиями дотаций на выравнивание бюджетной обеспеченности муниципальных образований утверждаются законом Санкт-Петербурга о бюджете Санкт-Петербурга на очередной финансовый год и на плановый период. Динамика поступлений доходов за период 20</w:t>
      </w:r>
      <w:r w:rsidR="006A7E63">
        <w:t>20</w:t>
      </w:r>
      <w:r>
        <w:t>-202</w:t>
      </w:r>
      <w:r w:rsidR="005708CC">
        <w:t>6</w:t>
      </w:r>
      <w:r>
        <w:t xml:space="preserve"> годы:</w:t>
      </w:r>
    </w:p>
    <w:p w:rsidR="00AD76DF" w:rsidRDefault="00AD76DF" w:rsidP="00AD76DF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AD76DF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Поступление доходов без учета субвенций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6A7E63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6A7E63" w:rsidP="006A7E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6A7E63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71021,1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3" w:rsidRDefault="006A7E63">
            <w:pPr>
              <w:jc w:val="both"/>
              <w:rPr>
                <w:lang w:eastAsia="en-US"/>
              </w:rPr>
            </w:pPr>
          </w:p>
        </w:tc>
      </w:tr>
      <w:tr w:rsidR="006A7E63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6A7E63" w:rsidP="006A7E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6A7E63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67332,3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6A7E63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94,8%</w:t>
            </w:r>
          </w:p>
        </w:tc>
      </w:tr>
      <w:tr w:rsidR="006A7E63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6A7E63" w:rsidP="006A7E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F41314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71868,4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6A7E63" w:rsidP="00F413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41314">
              <w:rPr>
                <w:lang w:eastAsia="en-US"/>
              </w:rPr>
              <w:t>6</w:t>
            </w:r>
            <w:r>
              <w:rPr>
                <w:lang w:eastAsia="en-US"/>
              </w:rPr>
              <w:t>,7%</w:t>
            </w:r>
          </w:p>
        </w:tc>
      </w:tr>
      <w:tr w:rsidR="006A7E63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6A7E63" w:rsidP="006A7E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(ожидаемое исполнение)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5708CC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75358,9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5708CC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104,9%</w:t>
            </w:r>
          </w:p>
        </w:tc>
      </w:tr>
      <w:tr w:rsidR="006A7E63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6A7E63" w:rsidP="006A7E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5708CC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79556,2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5708CC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105,6%</w:t>
            </w:r>
          </w:p>
        </w:tc>
      </w:tr>
      <w:tr w:rsidR="006A7E63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6A7E63" w:rsidP="006A7E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5708CC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82830,3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5708CC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104,1%</w:t>
            </w:r>
          </w:p>
        </w:tc>
      </w:tr>
      <w:tr w:rsidR="006A7E63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6A7E63" w:rsidP="006A7E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5708CC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86105,4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3" w:rsidRDefault="005708CC" w:rsidP="00FA40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104,0%</w:t>
            </w:r>
          </w:p>
        </w:tc>
      </w:tr>
    </w:tbl>
    <w:p w:rsidR="00AD76DF" w:rsidRDefault="00AD76DF" w:rsidP="00AD76DF">
      <w:pPr>
        <w:ind w:firstLine="709"/>
        <w:jc w:val="both"/>
        <w:rPr>
          <w:b/>
        </w:rPr>
      </w:pPr>
    </w:p>
    <w:p w:rsidR="00AD76DF" w:rsidRDefault="00AD76DF" w:rsidP="00AD76DF">
      <w:pPr>
        <w:ind w:firstLine="709"/>
        <w:jc w:val="both"/>
      </w:pPr>
      <w:r>
        <w:t xml:space="preserve">  </w:t>
      </w:r>
    </w:p>
    <w:p w:rsidR="00AD76DF" w:rsidRDefault="00AD76DF" w:rsidP="00AD76DF"/>
    <w:p w:rsidR="00AD76DF" w:rsidRDefault="00AD76DF" w:rsidP="00AD76DF">
      <w:pPr>
        <w:ind w:firstLine="709"/>
        <w:jc w:val="center"/>
      </w:pPr>
      <w:r>
        <w:t>Сопоставление с ранее утвержденными параметрами прогноза доходов и расходов</w:t>
      </w:r>
    </w:p>
    <w:p w:rsidR="00AD76DF" w:rsidRDefault="00AD76DF" w:rsidP="00AD76DF">
      <w:pPr>
        <w:spacing w:after="120"/>
        <w:ind w:firstLine="709"/>
        <w:jc w:val="right"/>
      </w:pPr>
      <w:r>
        <w:t>тыс. руб.</w:t>
      </w:r>
    </w:p>
    <w:p w:rsidR="00AD76DF" w:rsidRDefault="00AD76DF" w:rsidP="00AD76DF">
      <w:pPr>
        <w:ind w:firstLine="709"/>
        <w:jc w:val="center"/>
        <w:rPr>
          <w:i/>
        </w:rPr>
      </w:pPr>
    </w:p>
    <w:tbl>
      <w:tblPr>
        <w:tblStyle w:val="a6"/>
        <w:tblW w:w="10308" w:type="dxa"/>
        <w:jc w:val="center"/>
        <w:tblLayout w:type="fixed"/>
        <w:tblLook w:val="04A0"/>
      </w:tblPr>
      <w:tblGrid>
        <w:gridCol w:w="1357"/>
        <w:gridCol w:w="1598"/>
        <w:gridCol w:w="1603"/>
        <w:gridCol w:w="1220"/>
        <w:gridCol w:w="1631"/>
        <w:gridCol w:w="1511"/>
        <w:gridCol w:w="1388"/>
      </w:tblGrid>
      <w:tr w:rsidR="00AD76DF" w:rsidTr="00AD76DF">
        <w:trPr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</w:t>
            </w:r>
            <w:r>
              <w:rPr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F413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41314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570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708CC">
              <w:rPr>
                <w:lang w:eastAsia="en-US"/>
              </w:rPr>
              <w:t>5</w:t>
            </w:r>
            <w:r>
              <w:rPr>
                <w:lang w:eastAsia="en-US"/>
              </w:rPr>
              <w:t>год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DF" w:rsidRDefault="00AD76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F4131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прогнозу доходов, расходов на 202</w:t>
            </w:r>
            <w:r w:rsidR="00F41314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F41314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F4131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прогнозу доходов, расходов на 202</w:t>
            </w:r>
            <w:r w:rsidR="00F4131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F4131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Уточнение +/-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F4131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прогнозу доходов, расходов на 202</w:t>
            </w:r>
            <w:r w:rsidR="00F41314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F41314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F4131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прогнозу доходов, расходов на 202</w:t>
            </w:r>
            <w:r w:rsidR="00F4131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F4131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Уточнение +/-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F41314" w:rsidP="007C73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C7314">
              <w:rPr>
                <w:lang w:eastAsia="en-US"/>
              </w:rPr>
              <w:t>55</w:t>
            </w:r>
            <w:r>
              <w:rPr>
                <w:lang w:eastAsia="en-US"/>
              </w:rPr>
              <w:t>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5708CC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97000,0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7C73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+11500,0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7C7314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90000,0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5708CC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7C7314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+11000,0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F41314" w:rsidP="007C73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C7314">
              <w:rPr>
                <w:lang w:eastAsia="en-US"/>
              </w:rPr>
              <w:t>550</w:t>
            </w:r>
            <w:r>
              <w:rPr>
                <w:lang w:eastAsia="en-US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5708CC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97100</w:t>
            </w:r>
            <w:r w:rsidR="007C7314">
              <w:rPr>
                <w:lang w:eastAsia="en-US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7C7314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+11600,0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7C7314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90000,0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5708CC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7C7314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+11000,0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Дефици</w:t>
            </w:r>
            <w:proofErr w:type="gramStart"/>
            <w:r>
              <w:rPr>
                <w:lang w:eastAsia="en-US"/>
              </w:rPr>
              <w:t>т(</w:t>
            </w:r>
            <w:proofErr w:type="gramEnd"/>
            <w:r>
              <w:rPr>
                <w:lang w:eastAsia="en-US"/>
              </w:rPr>
              <w:t xml:space="preserve">-)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Профицит</w:t>
            </w:r>
            <w:proofErr w:type="spellEnd"/>
            <w:r>
              <w:rPr>
                <w:lang w:eastAsia="en-US"/>
              </w:rPr>
              <w:t xml:space="preserve"> (+)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7C73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="007C7314">
              <w:rPr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F" w:rsidRDefault="00AD76DF">
            <w:pPr>
              <w:jc w:val="both"/>
              <w:rPr>
                <w:lang w:eastAsia="en-US"/>
              </w:rPr>
            </w:pPr>
          </w:p>
          <w:p w:rsidR="007C7314" w:rsidRDefault="007C7314">
            <w:pPr>
              <w:jc w:val="both"/>
              <w:rPr>
                <w:lang w:eastAsia="en-US"/>
              </w:rPr>
            </w:pPr>
          </w:p>
          <w:p w:rsidR="007C7314" w:rsidRDefault="007C73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  <w:r w:rsidR="00D82D3A">
              <w:rPr>
                <w:lang w:eastAsia="en-US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F" w:rsidRDefault="00AD76DF">
            <w:pPr>
              <w:jc w:val="both"/>
              <w:rPr>
                <w:lang w:eastAsia="en-US"/>
              </w:rPr>
            </w:pPr>
          </w:p>
          <w:p w:rsidR="007C7314" w:rsidRDefault="007C7314">
            <w:pPr>
              <w:jc w:val="both"/>
              <w:rPr>
                <w:lang w:eastAsia="en-US"/>
              </w:rPr>
            </w:pPr>
          </w:p>
          <w:p w:rsidR="007C7314" w:rsidRDefault="007C73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AD76DF" w:rsidRDefault="00AD76DF" w:rsidP="00AD76DF">
      <w:pPr>
        <w:ind w:firstLine="709"/>
      </w:pPr>
    </w:p>
    <w:p w:rsidR="00AD76DF" w:rsidRDefault="00AD76DF" w:rsidP="00AD76DF">
      <w:pPr>
        <w:spacing w:line="276" w:lineRule="auto"/>
        <w:jc w:val="both"/>
      </w:pPr>
      <w:r>
        <w:t>Необходимо учесть существенные различия при подготовке Прогноза социально-экономического развития на 202</w:t>
      </w:r>
      <w:r w:rsidR="007C7314">
        <w:t>4</w:t>
      </w:r>
      <w:r>
        <w:t>-202</w:t>
      </w:r>
      <w:r w:rsidR="007C7314">
        <w:t>6</w:t>
      </w:r>
      <w:r>
        <w:t xml:space="preserve">годы.  Внешние и внутренние условия развития российской экономики существенно поменялись, а как следствие изменились и основные </w:t>
      </w:r>
      <w:r>
        <w:lastRenderedPageBreak/>
        <w:t>параметры бюджета муниципального образования. Однако главным в деятельности муниципального образования является повышение качества жизни человека</w:t>
      </w:r>
      <w:r w:rsidR="00207600">
        <w:t>.</w:t>
      </w:r>
    </w:p>
    <w:p w:rsidR="00207600" w:rsidRDefault="00207600" w:rsidP="00207600">
      <w:pPr>
        <w:shd w:val="clear" w:color="auto" w:fill="FFFFFF"/>
        <w:ind w:left="-284" w:firstLine="709"/>
        <w:jc w:val="both"/>
      </w:pPr>
      <w:r w:rsidRPr="00D661A6">
        <w:t xml:space="preserve">Объем прогнозируемых расходов </w:t>
      </w:r>
      <w:r>
        <w:t xml:space="preserve">и доходов </w:t>
      </w:r>
      <w:r w:rsidRPr="00D661A6">
        <w:t>на 202</w:t>
      </w:r>
      <w:r w:rsidR="000C3698">
        <w:t>4</w:t>
      </w:r>
      <w:r w:rsidRPr="00D661A6">
        <w:t>-202</w:t>
      </w:r>
      <w:r>
        <w:t>6</w:t>
      </w:r>
      <w:r w:rsidRPr="00D661A6">
        <w:t xml:space="preserve"> годы потребует корректировки  при условии, если в Перечень источников доходов бюджетов внутригородских муниципальных образований Санкт-Петербурга</w:t>
      </w:r>
      <w:r>
        <w:t xml:space="preserve">, </w:t>
      </w:r>
      <w:r w:rsidRPr="00D661A6">
        <w:t>нормативы отчислений доходов в бюджеты внутригородских муниципальных образований Санкт-Петербурга</w:t>
      </w:r>
      <w:r>
        <w:t>, корректировки сумм межбюджетных трансфертов</w:t>
      </w:r>
      <w:r w:rsidRPr="00D661A6">
        <w:t xml:space="preserve"> будут внесены изменения.</w:t>
      </w:r>
    </w:p>
    <w:p w:rsidR="00207600" w:rsidRDefault="00207600" w:rsidP="00AD76DF">
      <w:pPr>
        <w:spacing w:line="276" w:lineRule="auto"/>
        <w:jc w:val="both"/>
      </w:pPr>
    </w:p>
    <w:p w:rsidR="00AD76DF" w:rsidRDefault="00AD76DF" w:rsidP="00AD76DF">
      <w:pPr>
        <w:ind w:firstLine="709"/>
      </w:pPr>
    </w:p>
    <w:p w:rsidR="00AD76DF" w:rsidRDefault="00AD76DF" w:rsidP="00AD76DF">
      <w:pPr>
        <w:ind w:firstLine="709"/>
        <w:jc w:val="center"/>
      </w:pPr>
      <w:r>
        <w:t>Доходы</w:t>
      </w:r>
    </w:p>
    <w:p w:rsidR="00AD76DF" w:rsidRDefault="00AD76DF" w:rsidP="00AD76DF">
      <w:pPr>
        <w:ind w:firstLine="709"/>
        <w:jc w:val="center"/>
      </w:pPr>
    </w:p>
    <w:p w:rsidR="00AD76DF" w:rsidRDefault="00AD76DF" w:rsidP="00AD76DF">
      <w:pPr>
        <w:jc w:val="both"/>
        <w:rPr>
          <w:color w:val="000000" w:themeColor="text1"/>
        </w:rPr>
      </w:pPr>
      <w:proofErr w:type="gramStart"/>
      <w:r>
        <w:t>Уточнение объема доходов на  202</w:t>
      </w:r>
      <w:r w:rsidR="00F41314">
        <w:t>4</w:t>
      </w:r>
      <w:r>
        <w:t xml:space="preserve"> год по прогнозу доходов  на 202</w:t>
      </w:r>
      <w:r w:rsidR="00F41314">
        <w:t>4</w:t>
      </w:r>
      <w:r>
        <w:t xml:space="preserve"> год и плановый период на 202</w:t>
      </w:r>
      <w:r w:rsidR="00F41314">
        <w:t>5</w:t>
      </w:r>
      <w:r w:rsidR="00322CF2">
        <w:t xml:space="preserve"> и </w:t>
      </w:r>
      <w:r>
        <w:t>202</w:t>
      </w:r>
      <w:r w:rsidR="00F41314">
        <w:t>6</w:t>
      </w:r>
      <w:r>
        <w:t xml:space="preserve"> год</w:t>
      </w:r>
      <w:r w:rsidR="00322CF2">
        <w:t>ов</w:t>
      </w:r>
      <w:r>
        <w:t xml:space="preserve"> </w:t>
      </w:r>
      <w:r w:rsidR="00C34CD9">
        <w:t xml:space="preserve">в сторону увеличения </w:t>
      </w:r>
      <w:r>
        <w:t>произведено с учетом фактического поступления доходов в 202</w:t>
      </w:r>
      <w:r w:rsidR="00F41314">
        <w:t>3</w:t>
      </w:r>
      <w:r>
        <w:t xml:space="preserve"> году, в соответствии с  </w:t>
      </w:r>
      <w:r>
        <w:rPr>
          <w:color w:val="000000"/>
        </w:rPr>
        <w:t xml:space="preserve">перечнем источников доходов бюджетов внутригородских муниципальных образований </w:t>
      </w:r>
      <w:r w:rsidR="00322CF2">
        <w:rPr>
          <w:color w:val="000000"/>
        </w:rPr>
        <w:t xml:space="preserve">города федерального значения </w:t>
      </w:r>
      <w:r>
        <w:rPr>
          <w:color w:val="000000"/>
        </w:rPr>
        <w:t xml:space="preserve">Санкт-Петербурга,  </w:t>
      </w:r>
      <w:r>
        <w:rPr>
          <w:color w:val="000000" w:themeColor="text1"/>
        </w:rPr>
        <w:t>распределения  дотаций на выравнивание бюджетной обеспеченности внутригородских муниципальных образований города федерального значения Санкт-Петербурга и</w:t>
      </w:r>
      <w:proofErr w:type="gramEnd"/>
      <w:r>
        <w:rPr>
          <w:color w:val="000000" w:themeColor="text1"/>
        </w:rPr>
        <w:t xml:space="preserve"> распределения  субвенций бюджетам внутригородских муниципальных образований города федерального значения Санкт-Петербурга на исполнение органами местного самоуправления в Санкт-Петербурге отдельного государственного полномочия Санкт-Петербурга в соответствии с проектом Закона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>анкт- Петербурга «О бюджете Санкт-Петербурга  на 202</w:t>
      </w:r>
      <w:r w:rsidR="00F41314">
        <w:rPr>
          <w:color w:val="000000" w:themeColor="text1"/>
        </w:rPr>
        <w:t>4</w:t>
      </w:r>
      <w:r>
        <w:rPr>
          <w:color w:val="000000" w:themeColor="text1"/>
        </w:rPr>
        <w:t xml:space="preserve"> год и на плановый период 202</w:t>
      </w:r>
      <w:r w:rsidR="00F41314">
        <w:rPr>
          <w:color w:val="000000" w:themeColor="text1"/>
        </w:rPr>
        <w:t>5</w:t>
      </w:r>
      <w:r>
        <w:rPr>
          <w:color w:val="000000" w:themeColor="text1"/>
        </w:rPr>
        <w:t xml:space="preserve"> и 202</w:t>
      </w:r>
      <w:r w:rsidR="00F41314">
        <w:rPr>
          <w:color w:val="000000" w:themeColor="text1"/>
        </w:rPr>
        <w:t>6</w:t>
      </w:r>
      <w:r>
        <w:rPr>
          <w:color w:val="000000" w:themeColor="text1"/>
        </w:rPr>
        <w:t xml:space="preserve"> годов</w:t>
      </w:r>
      <w:r w:rsidR="00C91E3E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C91E3E" w:rsidRDefault="00C91E3E" w:rsidP="0074394B">
      <w:pPr>
        <w:ind w:firstLine="709"/>
        <w:jc w:val="both"/>
      </w:pPr>
      <w:r>
        <w:rPr>
          <w:color w:val="000000" w:themeColor="text1"/>
        </w:rPr>
        <w:t xml:space="preserve">Основная доля доходов в бюджет муниципального образования поступит за счет дотации на выравнивание бюджетной обеспеченности </w:t>
      </w:r>
      <w:r w:rsidR="00F55FA5">
        <w:rPr>
          <w:color w:val="000000" w:themeColor="text1"/>
        </w:rPr>
        <w:t>-62,8</w:t>
      </w:r>
      <w:r>
        <w:rPr>
          <w:color w:val="000000" w:themeColor="text1"/>
        </w:rPr>
        <w:t>%</w:t>
      </w:r>
      <w:r w:rsidR="00F55FA5">
        <w:rPr>
          <w:color w:val="000000" w:themeColor="text1"/>
        </w:rPr>
        <w:t xml:space="preserve"> в 2024 году, 61,4% в 2025 году, 60,5% в 2026 году от общего планируемого объёма поступлений доходов.</w:t>
      </w:r>
      <w:r>
        <w:rPr>
          <w:color w:val="000000" w:themeColor="text1"/>
        </w:rPr>
        <w:t xml:space="preserve"> Значительную долю доходов составит субвенция на финансовое обеспечение переданных законами Санкт-Петербурга государственных полномочий </w:t>
      </w:r>
      <w:proofErr w:type="gramStart"/>
      <w:r w:rsidR="00F55FA5">
        <w:rPr>
          <w:color w:val="000000" w:themeColor="text1"/>
        </w:rPr>
        <w:t>:в</w:t>
      </w:r>
      <w:proofErr w:type="gramEnd"/>
      <w:r w:rsidR="00F55FA5">
        <w:rPr>
          <w:color w:val="000000" w:themeColor="text1"/>
        </w:rPr>
        <w:t xml:space="preserve"> 2024 году,  в 2025 году, и в 2026 году 18,0% от общего планируемого объёма поступлений доходов.</w:t>
      </w:r>
      <w:r>
        <w:rPr>
          <w:color w:val="000000" w:themeColor="text1"/>
        </w:rPr>
        <w:t>, а также поступление налоговых доходов НДФЛ</w:t>
      </w:r>
      <w:r w:rsidR="00F55FA5">
        <w:rPr>
          <w:color w:val="000000" w:themeColor="text1"/>
        </w:rPr>
        <w:t xml:space="preserve">, представленные </w:t>
      </w:r>
      <w:r w:rsidR="00F55FA5">
        <w:t xml:space="preserve"> МИФНС №24 по Санкт-Петербургу</w:t>
      </w:r>
      <w:r>
        <w:rPr>
          <w:color w:val="000000" w:themeColor="text1"/>
        </w:rPr>
        <w:t xml:space="preserve"> </w:t>
      </w:r>
      <w:r w:rsidR="00F55FA5">
        <w:rPr>
          <w:color w:val="000000" w:themeColor="text1"/>
        </w:rPr>
        <w:t xml:space="preserve">– 18,5% в 2024 году, 19,9% в 2025 году, 20,7% в 2026 году от общего планируемого объёма поступлений доходов. </w:t>
      </w:r>
    </w:p>
    <w:p w:rsidR="00AD76DF" w:rsidRDefault="00AD76DF" w:rsidP="00AD76DF">
      <w:pPr>
        <w:jc w:val="both"/>
      </w:pPr>
      <w:r>
        <w:t>В 202</w:t>
      </w:r>
      <w:r w:rsidR="00F41314">
        <w:t>4</w:t>
      </w:r>
      <w:r>
        <w:t xml:space="preserve"> году планируется </w:t>
      </w:r>
      <w:r w:rsidR="00322CF2">
        <w:t>у</w:t>
      </w:r>
      <w:r w:rsidR="00280DAA">
        <w:t>величение</w:t>
      </w:r>
      <w:r w:rsidR="00322CF2">
        <w:t xml:space="preserve"> поступления доходов на </w:t>
      </w:r>
      <w:r w:rsidR="00280DAA">
        <w:t>4197,3</w:t>
      </w:r>
      <w:r w:rsidR="00322CF2">
        <w:t xml:space="preserve"> тыс. рублей (</w:t>
      </w:r>
      <w:r w:rsidR="00280DAA">
        <w:t>105,6</w:t>
      </w:r>
      <w:r w:rsidR="00322CF2">
        <w:t>%к 202</w:t>
      </w:r>
      <w:r w:rsidR="00F41314">
        <w:t>3</w:t>
      </w:r>
      <w:r w:rsidR="00322CF2">
        <w:t xml:space="preserve"> году) без учета субвенций</w:t>
      </w:r>
      <w:r>
        <w:t>.</w:t>
      </w:r>
    </w:p>
    <w:p w:rsidR="00F82659" w:rsidRDefault="00322CF2" w:rsidP="00AD76DF">
      <w:pPr>
        <w:jc w:val="both"/>
      </w:pPr>
      <w:r>
        <w:t>В 202</w:t>
      </w:r>
      <w:r w:rsidR="00F41314">
        <w:t>5</w:t>
      </w:r>
      <w:r>
        <w:t xml:space="preserve"> и 202</w:t>
      </w:r>
      <w:r w:rsidR="00F41314">
        <w:t>6</w:t>
      </w:r>
      <w:r>
        <w:t xml:space="preserve"> году увеличение поступлений доходов </w:t>
      </w:r>
      <w:r w:rsidR="00280DAA">
        <w:t xml:space="preserve">без учета субвенций </w:t>
      </w:r>
      <w:r>
        <w:t>на 3</w:t>
      </w:r>
      <w:r w:rsidR="00280DAA">
        <w:t>274,1</w:t>
      </w:r>
      <w:r>
        <w:t xml:space="preserve"> тыс. руб</w:t>
      </w:r>
      <w:r w:rsidR="001B1613">
        <w:t>лей (10</w:t>
      </w:r>
      <w:r w:rsidR="00280DAA">
        <w:t>4,1</w:t>
      </w:r>
      <w:r w:rsidR="001B1613">
        <w:t>% к 202</w:t>
      </w:r>
      <w:r w:rsidR="00280DAA">
        <w:t>4</w:t>
      </w:r>
      <w:r w:rsidR="001B1613">
        <w:t xml:space="preserve"> году) и на </w:t>
      </w:r>
      <w:r w:rsidR="00280DAA">
        <w:t>3275,1</w:t>
      </w:r>
      <w:r>
        <w:t xml:space="preserve"> тыс. рублей (10</w:t>
      </w:r>
      <w:r w:rsidR="00280DAA">
        <w:t>4,0</w:t>
      </w:r>
      <w:r>
        <w:t>% к 202</w:t>
      </w:r>
      <w:r w:rsidR="00280DAA">
        <w:t>5</w:t>
      </w:r>
      <w:r>
        <w:t xml:space="preserve"> году) соответственно</w:t>
      </w:r>
      <w:r w:rsidR="00280DAA">
        <w:t>.</w:t>
      </w:r>
    </w:p>
    <w:p w:rsidR="00F82659" w:rsidRDefault="00F82659" w:rsidP="00AD76DF">
      <w:pPr>
        <w:jc w:val="both"/>
      </w:pPr>
      <w:r>
        <w:t xml:space="preserve">Так как планирование доходов осуществляется Комитетом финансов в части  дотации на выравнивание бюджетной обеспеченности, МИФНС №24 по Санкт-Петербургу в части </w:t>
      </w:r>
      <w:r>
        <w:rPr>
          <w:color w:val="000000" w:themeColor="text1"/>
        </w:rPr>
        <w:t>поступление налоговых доходов НДФЛ</w:t>
      </w:r>
      <w:r>
        <w:t xml:space="preserve"> и Комитетом по социальной политике Санкт-Петербурга в части субвенций, муниципальное образование не может оказывать влияние на суммы поступления доходов в бюджет.</w:t>
      </w:r>
    </w:p>
    <w:p w:rsidR="00AD76DF" w:rsidRDefault="00AD76DF" w:rsidP="00AD76DF">
      <w:pPr>
        <w:jc w:val="both"/>
      </w:pPr>
      <w:r>
        <w:t xml:space="preserve"> </w:t>
      </w:r>
    </w:p>
    <w:p w:rsidR="00AD76DF" w:rsidRDefault="00AD76DF" w:rsidP="00AD76DF">
      <w:pPr>
        <w:ind w:firstLine="709"/>
        <w:jc w:val="center"/>
      </w:pPr>
      <w:r>
        <w:t>Расходы</w:t>
      </w:r>
    </w:p>
    <w:p w:rsidR="00AD76DF" w:rsidRDefault="00AD76DF" w:rsidP="00AD76DF">
      <w:pPr>
        <w:ind w:firstLine="709"/>
        <w:jc w:val="center"/>
      </w:pPr>
    </w:p>
    <w:p w:rsidR="00AD76DF" w:rsidRDefault="00AD76DF" w:rsidP="00AD76DF">
      <w:pPr>
        <w:ind w:firstLine="709"/>
        <w:jc w:val="both"/>
      </w:pPr>
      <w:r>
        <w:t>Уточнение объема расходов 202</w:t>
      </w:r>
      <w:r w:rsidR="0074394B">
        <w:t>4</w:t>
      </w:r>
      <w:r>
        <w:t xml:space="preserve"> года по прогнозу расходов на 202</w:t>
      </w:r>
      <w:r w:rsidR="0074394B">
        <w:t>4</w:t>
      </w:r>
      <w:r>
        <w:t xml:space="preserve"> год и плановый период на 202</w:t>
      </w:r>
      <w:r w:rsidR="0074394B">
        <w:t>5</w:t>
      </w:r>
      <w:r w:rsidR="009F6ABA">
        <w:t xml:space="preserve"> и </w:t>
      </w:r>
      <w:r>
        <w:t>202</w:t>
      </w:r>
      <w:r w:rsidR="0074394B">
        <w:t>6</w:t>
      </w:r>
      <w:r>
        <w:t xml:space="preserve"> год</w:t>
      </w:r>
      <w:r w:rsidR="009F6ABA">
        <w:t>ов</w:t>
      </w:r>
      <w:r>
        <w:t xml:space="preserve"> произведено для достижения сбалансированности бюджета в связи с планируемым поступлением доходов и переходящего остатка на счете бюджета</w:t>
      </w:r>
      <w:r w:rsidR="009F6ABA">
        <w:t>, прогноза исполнения бюджета за текущий 202</w:t>
      </w:r>
      <w:r w:rsidR="0074394B">
        <w:t>3</w:t>
      </w:r>
      <w:r w:rsidR="009F6ABA">
        <w:t xml:space="preserve"> год</w:t>
      </w:r>
      <w:r>
        <w:t>. Расходы бюджета определены исходя из социально-экономической политики муниципального образования в рамках доходных возможностей бюджета.</w:t>
      </w:r>
    </w:p>
    <w:p w:rsidR="00AD76DF" w:rsidRDefault="00AD76DF" w:rsidP="00AD76DF">
      <w:pPr>
        <w:ind w:firstLine="708"/>
        <w:jc w:val="both"/>
      </w:pPr>
      <w:proofErr w:type="gramStart"/>
      <w:r>
        <w:t>Объем расходов на 202</w:t>
      </w:r>
      <w:r w:rsidR="0074394B">
        <w:t>4</w:t>
      </w:r>
      <w:r>
        <w:t xml:space="preserve"> год </w:t>
      </w:r>
      <w:r w:rsidR="00C34CD9">
        <w:t xml:space="preserve"> и на плановый период 2025 и 2026 годов </w:t>
      </w:r>
      <w:r>
        <w:t xml:space="preserve">учтен в соответствии с  </w:t>
      </w:r>
      <w:r w:rsidR="009F6ABA">
        <w:t>р</w:t>
      </w:r>
      <w:r>
        <w:t>асчетами и обоснованиями по расходам проекта местного бюджета</w:t>
      </w:r>
      <w:r w:rsidR="00C34CD9">
        <w:t xml:space="preserve">, исходя из расходов, определенных в  11 муниципальных программах  и увеличения не программных расходов на величину индекса инфляции на соответствующий год и </w:t>
      </w:r>
      <w:r w:rsidR="00C34CD9">
        <w:lastRenderedPageBreak/>
        <w:t xml:space="preserve">составит </w:t>
      </w:r>
      <w:r>
        <w:t xml:space="preserve">  на 202</w:t>
      </w:r>
      <w:r w:rsidR="0074394B">
        <w:t>4</w:t>
      </w:r>
      <w:r>
        <w:t xml:space="preserve"> год</w:t>
      </w:r>
      <w:r w:rsidR="00C34CD9">
        <w:t>- 97100,0 тыс. рублей;</w:t>
      </w:r>
      <w:proofErr w:type="gramEnd"/>
      <w:r w:rsidR="00C34CD9">
        <w:t xml:space="preserve"> на 2025 год -101000,0 тыс. руб.; на 2026год -105000,0 тыс. руб.</w:t>
      </w:r>
      <w:r w:rsidR="009F6ABA">
        <w:t xml:space="preserve"> </w:t>
      </w:r>
    </w:p>
    <w:p w:rsidR="00A77FAA" w:rsidRDefault="00AD76DF" w:rsidP="00AD76DF">
      <w:pPr>
        <w:jc w:val="both"/>
      </w:pPr>
      <w:r>
        <w:tab/>
      </w:r>
      <w:r w:rsidR="00A77FAA">
        <w:t>Приоритетной статьёй расходов бюджета на 202</w:t>
      </w:r>
      <w:r w:rsidR="0074394B">
        <w:t>4</w:t>
      </w:r>
      <w:r w:rsidR="00A77FAA">
        <w:t xml:space="preserve"> год и на плановый период 202</w:t>
      </w:r>
      <w:r w:rsidR="0074394B">
        <w:t>5</w:t>
      </w:r>
      <w:r w:rsidR="00A77FAA">
        <w:t xml:space="preserve"> и 202</w:t>
      </w:r>
      <w:r w:rsidR="0074394B">
        <w:t>6</w:t>
      </w:r>
      <w:r w:rsidR="00A77FAA">
        <w:t xml:space="preserve"> годов продолжает оставаться создание комфортных условий для проживания граждан в рамках реализации вопросов по благоустройству территории муниципального образования. Основные усилия по данному вопросу местного значения будут направлены на реализацию проектов комплексного благоустройства</w:t>
      </w:r>
      <w:r w:rsidR="0074394B">
        <w:t xml:space="preserve"> в рамках муниципальной</w:t>
      </w:r>
      <w:r w:rsidR="00A77FAA">
        <w:t xml:space="preserve"> программы «Благоустройство территории и охрана окружающей среды» на 202</w:t>
      </w:r>
      <w:r w:rsidR="0074394B">
        <w:t>4</w:t>
      </w:r>
      <w:r w:rsidR="00A77FAA">
        <w:t>-202</w:t>
      </w:r>
      <w:r w:rsidR="0074394B">
        <w:t>6</w:t>
      </w:r>
      <w:r w:rsidR="00A77FAA">
        <w:t xml:space="preserve"> годы</w:t>
      </w:r>
      <w:r w:rsidR="00054865">
        <w:t xml:space="preserve">, в общей структуре расходов бюджета </w:t>
      </w:r>
      <w:proofErr w:type="gramStart"/>
      <w:r w:rsidR="00054865">
        <w:t>на</w:t>
      </w:r>
      <w:proofErr w:type="gramEnd"/>
      <w:r w:rsidR="00730E11">
        <w:t>:</w:t>
      </w:r>
    </w:p>
    <w:p w:rsidR="00054865" w:rsidRPr="006E527E" w:rsidRDefault="00054865" w:rsidP="00AD76DF">
      <w:pPr>
        <w:jc w:val="both"/>
        <w:rPr>
          <w:color w:val="000000" w:themeColor="text1"/>
        </w:rPr>
      </w:pPr>
      <w:r w:rsidRPr="006E527E">
        <w:rPr>
          <w:color w:val="000000" w:themeColor="text1"/>
        </w:rPr>
        <w:t>202</w:t>
      </w:r>
      <w:r w:rsidR="0074394B" w:rsidRPr="006E527E">
        <w:rPr>
          <w:color w:val="000000" w:themeColor="text1"/>
        </w:rPr>
        <w:t>4</w:t>
      </w:r>
      <w:r w:rsidRPr="006E527E">
        <w:rPr>
          <w:color w:val="000000" w:themeColor="text1"/>
        </w:rPr>
        <w:t xml:space="preserve"> год составляет </w:t>
      </w:r>
      <w:r w:rsidR="000C3698" w:rsidRPr="006E527E">
        <w:rPr>
          <w:color w:val="000000" w:themeColor="text1"/>
        </w:rPr>
        <w:t>40,2</w:t>
      </w:r>
      <w:r w:rsidRPr="006E527E">
        <w:rPr>
          <w:color w:val="000000" w:themeColor="text1"/>
        </w:rPr>
        <w:t>% (</w:t>
      </w:r>
      <w:r w:rsidR="000C3698" w:rsidRPr="006E527E">
        <w:rPr>
          <w:color w:val="000000" w:themeColor="text1"/>
        </w:rPr>
        <w:t>38998,6</w:t>
      </w:r>
      <w:r w:rsidRPr="006E527E">
        <w:rPr>
          <w:color w:val="000000" w:themeColor="text1"/>
        </w:rPr>
        <w:t xml:space="preserve"> тыс. рублей);</w:t>
      </w:r>
    </w:p>
    <w:p w:rsidR="00054865" w:rsidRPr="006E527E" w:rsidRDefault="00054865" w:rsidP="00054865">
      <w:pPr>
        <w:jc w:val="both"/>
        <w:rPr>
          <w:color w:val="000000" w:themeColor="text1"/>
        </w:rPr>
      </w:pPr>
      <w:r w:rsidRPr="006E527E">
        <w:rPr>
          <w:color w:val="000000" w:themeColor="text1"/>
        </w:rPr>
        <w:t>202</w:t>
      </w:r>
      <w:r w:rsidR="0074394B" w:rsidRPr="006E527E">
        <w:rPr>
          <w:color w:val="000000" w:themeColor="text1"/>
        </w:rPr>
        <w:t>5</w:t>
      </w:r>
      <w:r w:rsidRPr="006E527E">
        <w:rPr>
          <w:color w:val="000000" w:themeColor="text1"/>
        </w:rPr>
        <w:t xml:space="preserve"> год составляет </w:t>
      </w:r>
      <w:r w:rsidR="000C3698" w:rsidRPr="006E527E">
        <w:rPr>
          <w:color w:val="000000" w:themeColor="text1"/>
        </w:rPr>
        <w:t>39,0</w:t>
      </w:r>
      <w:r w:rsidRPr="006E527E">
        <w:rPr>
          <w:color w:val="000000" w:themeColor="text1"/>
        </w:rPr>
        <w:t>% (</w:t>
      </w:r>
      <w:r w:rsidR="000C3698" w:rsidRPr="006E527E">
        <w:rPr>
          <w:color w:val="000000" w:themeColor="text1"/>
        </w:rPr>
        <w:t>39366,3</w:t>
      </w:r>
      <w:r w:rsidRPr="006E527E">
        <w:rPr>
          <w:color w:val="000000" w:themeColor="text1"/>
        </w:rPr>
        <w:t xml:space="preserve"> тыс. рублей);</w:t>
      </w:r>
    </w:p>
    <w:p w:rsidR="00054865" w:rsidRPr="006E527E" w:rsidRDefault="00054865" w:rsidP="00054865">
      <w:pPr>
        <w:jc w:val="both"/>
        <w:rPr>
          <w:color w:val="000000" w:themeColor="text1"/>
        </w:rPr>
      </w:pPr>
      <w:r w:rsidRPr="006E527E">
        <w:rPr>
          <w:color w:val="000000" w:themeColor="text1"/>
        </w:rPr>
        <w:t>202</w:t>
      </w:r>
      <w:r w:rsidR="0074394B" w:rsidRPr="006E527E">
        <w:rPr>
          <w:color w:val="000000" w:themeColor="text1"/>
        </w:rPr>
        <w:t>6</w:t>
      </w:r>
      <w:r w:rsidRPr="006E527E">
        <w:rPr>
          <w:color w:val="000000" w:themeColor="text1"/>
        </w:rPr>
        <w:t xml:space="preserve"> год составл</w:t>
      </w:r>
      <w:r w:rsidR="0074394B" w:rsidRPr="006E527E">
        <w:rPr>
          <w:color w:val="000000" w:themeColor="text1"/>
        </w:rPr>
        <w:t>яет 3</w:t>
      </w:r>
      <w:r w:rsidR="000C3698" w:rsidRPr="006E527E">
        <w:rPr>
          <w:color w:val="000000" w:themeColor="text1"/>
        </w:rPr>
        <w:t>7,0</w:t>
      </w:r>
      <w:r w:rsidR="0074394B" w:rsidRPr="006E527E">
        <w:rPr>
          <w:color w:val="000000" w:themeColor="text1"/>
        </w:rPr>
        <w:t>% (</w:t>
      </w:r>
      <w:r w:rsidR="000C3698" w:rsidRPr="006E527E">
        <w:rPr>
          <w:color w:val="000000" w:themeColor="text1"/>
        </w:rPr>
        <w:t>38865,0</w:t>
      </w:r>
      <w:r w:rsidR="0074394B" w:rsidRPr="006E527E">
        <w:rPr>
          <w:color w:val="000000" w:themeColor="text1"/>
        </w:rPr>
        <w:t xml:space="preserve"> тыс. рублей).</w:t>
      </w:r>
    </w:p>
    <w:p w:rsidR="00280D39" w:rsidRDefault="00280D39" w:rsidP="00054865">
      <w:pPr>
        <w:jc w:val="both"/>
      </w:pPr>
      <w:r>
        <w:t>Ассигнования по решению вопросов местного значения в области участия в профилактике терроризма и экстремизма, защиты населения и территории от чрезвычайных ситуаций природного и техногенного характера, национальной экономики, других вопросов в области образования, культуры, массового спорта, будут осуществляться на основе 10 муниципальных программ</w:t>
      </w:r>
      <w:r w:rsidR="00730E11">
        <w:t xml:space="preserve">. В общей структуре бюджета </w:t>
      </w:r>
      <w:proofErr w:type="gramStart"/>
      <w:r w:rsidR="00730E11">
        <w:t>на</w:t>
      </w:r>
      <w:proofErr w:type="gramEnd"/>
      <w:r w:rsidR="00730E11">
        <w:t>:</w:t>
      </w:r>
    </w:p>
    <w:p w:rsidR="00730E11" w:rsidRPr="00AE3C30" w:rsidRDefault="00730E11" w:rsidP="00730E11">
      <w:pPr>
        <w:jc w:val="both"/>
        <w:rPr>
          <w:color w:val="000000" w:themeColor="text1"/>
        </w:rPr>
      </w:pPr>
      <w:r w:rsidRPr="00AE3C30">
        <w:rPr>
          <w:color w:val="000000" w:themeColor="text1"/>
        </w:rPr>
        <w:t xml:space="preserve">2024 год составляет </w:t>
      </w:r>
      <w:r w:rsidR="00AE3C30" w:rsidRPr="00AE3C30">
        <w:rPr>
          <w:color w:val="000000" w:themeColor="text1"/>
        </w:rPr>
        <w:t>4,2</w:t>
      </w:r>
      <w:r w:rsidRPr="00AE3C30">
        <w:rPr>
          <w:color w:val="000000" w:themeColor="text1"/>
        </w:rPr>
        <w:t>% (</w:t>
      </w:r>
      <w:r w:rsidR="006E527E" w:rsidRPr="00AE3C30">
        <w:rPr>
          <w:color w:val="000000" w:themeColor="text1"/>
        </w:rPr>
        <w:t>4026,0</w:t>
      </w:r>
      <w:r w:rsidRPr="00AE3C30">
        <w:rPr>
          <w:color w:val="000000" w:themeColor="text1"/>
        </w:rPr>
        <w:t xml:space="preserve"> тыс. рублей);</w:t>
      </w:r>
    </w:p>
    <w:p w:rsidR="00730E11" w:rsidRPr="00AE3C30" w:rsidRDefault="00730E11" w:rsidP="00730E11">
      <w:pPr>
        <w:jc w:val="both"/>
        <w:rPr>
          <w:color w:val="000000" w:themeColor="text1"/>
        </w:rPr>
      </w:pPr>
      <w:r w:rsidRPr="00AE3C30">
        <w:rPr>
          <w:color w:val="000000" w:themeColor="text1"/>
        </w:rPr>
        <w:t xml:space="preserve">2025 год составляет </w:t>
      </w:r>
      <w:r w:rsidR="00AE3C30" w:rsidRPr="00AE3C30">
        <w:rPr>
          <w:color w:val="000000" w:themeColor="text1"/>
        </w:rPr>
        <w:t>3,9</w:t>
      </w:r>
      <w:r w:rsidRPr="00AE3C30">
        <w:rPr>
          <w:color w:val="000000" w:themeColor="text1"/>
        </w:rPr>
        <w:t>% (</w:t>
      </w:r>
      <w:r w:rsidR="006E527E" w:rsidRPr="00AE3C30">
        <w:rPr>
          <w:color w:val="000000" w:themeColor="text1"/>
        </w:rPr>
        <w:t>3929,6</w:t>
      </w:r>
      <w:r w:rsidRPr="00AE3C30">
        <w:rPr>
          <w:color w:val="000000" w:themeColor="text1"/>
        </w:rPr>
        <w:t xml:space="preserve"> тыс. рублей);</w:t>
      </w:r>
    </w:p>
    <w:p w:rsidR="00730E11" w:rsidRPr="00AE3C30" w:rsidRDefault="00730E11" w:rsidP="00054865">
      <w:pPr>
        <w:jc w:val="both"/>
        <w:rPr>
          <w:color w:val="000000" w:themeColor="text1"/>
        </w:rPr>
      </w:pPr>
      <w:r w:rsidRPr="00AE3C30">
        <w:rPr>
          <w:color w:val="000000" w:themeColor="text1"/>
        </w:rPr>
        <w:t xml:space="preserve">2026 год составляет </w:t>
      </w:r>
      <w:r w:rsidR="00AE3C30" w:rsidRPr="00AE3C30">
        <w:rPr>
          <w:color w:val="000000" w:themeColor="text1"/>
        </w:rPr>
        <w:t>3,9</w:t>
      </w:r>
      <w:r w:rsidRPr="00AE3C30">
        <w:rPr>
          <w:color w:val="000000" w:themeColor="text1"/>
        </w:rPr>
        <w:t>% (</w:t>
      </w:r>
      <w:r w:rsidR="006E527E" w:rsidRPr="00AE3C30">
        <w:rPr>
          <w:color w:val="000000" w:themeColor="text1"/>
        </w:rPr>
        <w:t>4080,0</w:t>
      </w:r>
      <w:r w:rsidRPr="00AE3C30">
        <w:rPr>
          <w:color w:val="000000" w:themeColor="text1"/>
        </w:rPr>
        <w:t xml:space="preserve"> тыс. рублей).</w:t>
      </w:r>
    </w:p>
    <w:p w:rsidR="0074394B" w:rsidRDefault="0074394B" w:rsidP="00054865">
      <w:pPr>
        <w:jc w:val="both"/>
      </w:pPr>
      <w:r>
        <w:tab/>
        <w:t>В 2024</w:t>
      </w:r>
      <w:r w:rsidR="00280DAA">
        <w:t>-2026</w:t>
      </w:r>
      <w:r>
        <w:t xml:space="preserve"> году Местная администрация МО Невская застава продолжит исполнять </w:t>
      </w:r>
      <w:r w:rsidR="00280D39">
        <w:t xml:space="preserve">за счет субвенции из бюджета Санкт-Петербурга </w:t>
      </w:r>
      <w:r>
        <w:t>следующие переданные государственные полномочия:</w:t>
      </w:r>
    </w:p>
    <w:p w:rsidR="0074394B" w:rsidRDefault="0074394B" w:rsidP="00054865">
      <w:pPr>
        <w:jc w:val="both"/>
      </w:pPr>
      <w:r>
        <w:t>-отдельные государственные полномочия в области опеки и попечительства;</w:t>
      </w:r>
    </w:p>
    <w:p w:rsidR="00280D39" w:rsidRDefault="0074394B" w:rsidP="00054865">
      <w:pPr>
        <w:jc w:val="both"/>
      </w:pPr>
      <w:r>
        <w:t>-отдельное государственное полномочие по определению должностных лиц местного самоуправления по составлению протоколов об административных правонарушениях</w:t>
      </w:r>
      <w:r w:rsidR="00280D39">
        <w:t>.</w:t>
      </w:r>
    </w:p>
    <w:p w:rsidR="00280D39" w:rsidRDefault="0074394B" w:rsidP="00280D39">
      <w:pPr>
        <w:jc w:val="both"/>
      </w:pPr>
      <w:r>
        <w:t xml:space="preserve"> </w:t>
      </w:r>
      <w:r w:rsidR="00280D39">
        <w:t xml:space="preserve">В общей структуре расходов бюджета </w:t>
      </w:r>
      <w:proofErr w:type="gramStart"/>
      <w:r w:rsidR="00280D39">
        <w:t>на</w:t>
      </w:r>
      <w:proofErr w:type="gramEnd"/>
    </w:p>
    <w:p w:rsidR="00280D39" w:rsidRDefault="00280D39" w:rsidP="00280D39">
      <w:pPr>
        <w:jc w:val="both"/>
      </w:pPr>
      <w:r>
        <w:t xml:space="preserve">2024 год составляет </w:t>
      </w:r>
      <w:r w:rsidR="00A125A1">
        <w:t>18,0</w:t>
      </w:r>
      <w:r>
        <w:t>% (</w:t>
      </w:r>
      <w:r w:rsidR="00280DAA">
        <w:t>17443,8</w:t>
      </w:r>
      <w:r>
        <w:t xml:space="preserve"> тыс. рублей);</w:t>
      </w:r>
    </w:p>
    <w:p w:rsidR="00280D39" w:rsidRDefault="00280D39" w:rsidP="00280D39">
      <w:pPr>
        <w:jc w:val="both"/>
      </w:pPr>
      <w:r>
        <w:t xml:space="preserve">2025 год составляет </w:t>
      </w:r>
      <w:r w:rsidR="00A125A1">
        <w:t>18,0</w:t>
      </w:r>
      <w:r>
        <w:t>% (</w:t>
      </w:r>
      <w:r w:rsidR="00280DAA">
        <w:t>18169,7</w:t>
      </w:r>
      <w:r>
        <w:t xml:space="preserve"> тыс. рублей);</w:t>
      </w:r>
    </w:p>
    <w:p w:rsidR="00280D39" w:rsidRDefault="00280D39" w:rsidP="00280D39">
      <w:pPr>
        <w:jc w:val="both"/>
      </w:pPr>
      <w:r>
        <w:t xml:space="preserve">2026 год составляет </w:t>
      </w:r>
      <w:r w:rsidR="00A125A1">
        <w:t>18,0</w:t>
      </w:r>
      <w:r>
        <w:t>% (</w:t>
      </w:r>
      <w:r w:rsidR="00A125A1">
        <w:t>18894,6</w:t>
      </w:r>
      <w:r>
        <w:t xml:space="preserve"> тыс. рублей).</w:t>
      </w:r>
    </w:p>
    <w:p w:rsidR="0074394B" w:rsidRDefault="0074394B" w:rsidP="00054865">
      <w:pPr>
        <w:jc w:val="both"/>
      </w:pPr>
    </w:p>
    <w:p w:rsidR="00054865" w:rsidRDefault="00054865" w:rsidP="00AD76DF">
      <w:pPr>
        <w:jc w:val="both"/>
      </w:pPr>
    </w:p>
    <w:p w:rsidR="00AD76DF" w:rsidRPr="00A77FAA" w:rsidRDefault="00A77FAA" w:rsidP="00AD76DF">
      <w:pPr>
        <w:jc w:val="both"/>
      </w:pPr>
      <w:r>
        <w:t xml:space="preserve"> </w:t>
      </w:r>
    </w:p>
    <w:p w:rsidR="00AD76DF" w:rsidRDefault="00AD76DF" w:rsidP="00AD76DF">
      <w:pPr>
        <w:ind w:firstLine="709"/>
        <w:jc w:val="center"/>
      </w:pPr>
      <w:r>
        <w:t>Дефицит бюджета</w:t>
      </w:r>
    </w:p>
    <w:p w:rsidR="00AD76DF" w:rsidRDefault="00AD76DF" w:rsidP="00AD76DF">
      <w:pPr>
        <w:ind w:firstLine="709"/>
        <w:jc w:val="center"/>
      </w:pPr>
    </w:p>
    <w:p w:rsidR="00207600" w:rsidRDefault="00AD76DF" w:rsidP="00AD76DF">
      <w:pPr>
        <w:ind w:firstLine="709"/>
        <w:jc w:val="both"/>
      </w:pPr>
      <w:r>
        <w:t xml:space="preserve">Дефицит бюджета </w:t>
      </w:r>
      <w:r w:rsidR="00A125A1">
        <w:t>определяется остатком на счете на 01.01.2024года, планируется</w:t>
      </w:r>
      <w:r>
        <w:t xml:space="preserve"> на 202</w:t>
      </w:r>
      <w:r w:rsidR="00730E11">
        <w:t>4</w:t>
      </w:r>
      <w:r>
        <w:t xml:space="preserve"> год  </w:t>
      </w:r>
      <w:r w:rsidR="00A125A1">
        <w:t>100</w:t>
      </w:r>
      <w:r w:rsidR="00207600">
        <w:t>,0 тыс. рублей. Прогноз основан на результатах исполнения бюджета на 01.10.2023 года</w:t>
      </w:r>
    </w:p>
    <w:p w:rsidR="00AD76DF" w:rsidRDefault="00207600" w:rsidP="00AD76DF">
      <w:pPr>
        <w:ind w:firstLine="709"/>
        <w:jc w:val="both"/>
        <w:rPr>
          <w:color w:val="000000" w:themeColor="text1"/>
          <w:sz w:val="22"/>
          <w:szCs w:val="22"/>
        </w:rPr>
      </w:pPr>
      <w:r>
        <w:t>Н</w:t>
      </w:r>
      <w:r w:rsidR="00AD76DF">
        <w:t>а 202</w:t>
      </w:r>
      <w:r w:rsidR="00730E11">
        <w:t>5</w:t>
      </w:r>
      <w:r>
        <w:t xml:space="preserve"> и </w:t>
      </w:r>
      <w:r w:rsidR="00AD76DF">
        <w:t>202</w:t>
      </w:r>
      <w:r w:rsidR="00730E11">
        <w:t>6</w:t>
      </w:r>
      <w:r w:rsidR="002C72D4">
        <w:t xml:space="preserve"> годы </w:t>
      </w:r>
      <w:r>
        <w:t xml:space="preserve">планируются дефицит бюджета в размере </w:t>
      </w:r>
      <w:r w:rsidR="00A125A1">
        <w:t>0</w:t>
      </w:r>
      <w:r w:rsidR="002C72D4">
        <w:t>,0</w:t>
      </w:r>
      <w:r w:rsidR="00A125A1">
        <w:t xml:space="preserve"> тыс. руб.</w:t>
      </w:r>
      <w:r w:rsidR="00AD76DF">
        <w:t xml:space="preserve"> </w:t>
      </w:r>
      <w:r w:rsidR="002C72D4">
        <w:t>Предполагается, что расходы будут на уровне поступления доходов.</w:t>
      </w:r>
    </w:p>
    <w:p w:rsidR="006478AA" w:rsidRPr="0098458F" w:rsidRDefault="006478AA" w:rsidP="00AD76DF">
      <w:pPr>
        <w:jc w:val="center"/>
        <w:rPr>
          <w:color w:val="000000" w:themeColor="text1"/>
          <w:sz w:val="22"/>
          <w:szCs w:val="22"/>
        </w:rPr>
      </w:pPr>
    </w:p>
    <w:sectPr w:rsidR="006478AA" w:rsidRPr="0098458F" w:rsidSect="00B81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53F1"/>
    <w:rsid w:val="000104A2"/>
    <w:rsid w:val="00017963"/>
    <w:rsid w:val="00030B86"/>
    <w:rsid w:val="000326FB"/>
    <w:rsid w:val="00040F8F"/>
    <w:rsid w:val="00042A3C"/>
    <w:rsid w:val="00054865"/>
    <w:rsid w:val="000672C8"/>
    <w:rsid w:val="00075AB6"/>
    <w:rsid w:val="00090E23"/>
    <w:rsid w:val="00097301"/>
    <w:rsid w:val="000B3A1D"/>
    <w:rsid w:val="000B3A9D"/>
    <w:rsid w:val="000B3EC5"/>
    <w:rsid w:val="000B65BD"/>
    <w:rsid w:val="000C3698"/>
    <w:rsid w:val="000C4220"/>
    <w:rsid w:val="000E7900"/>
    <w:rsid w:val="00102BBD"/>
    <w:rsid w:val="00103AE4"/>
    <w:rsid w:val="00156215"/>
    <w:rsid w:val="00166BF0"/>
    <w:rsid w:val="00176711"/>
    <w:rsid w:val="0018334E"/>
    <w:rsid w:val="001957CB"/>
    <w:rsid w:val="001A4C52"/>
    <w:rsid w:val="001B1613"/>
    <w:rsid w:val="001B36E9"/>
    <w:rsid w:val="001C7505"/>
    <w:rsid w:val="001E47AC"/>
    <w:rsid w:val="00204BAD"/>
    <w:rsid w:val="00207600"/>
    <w:rsid w:val="00215796"/>
    <w:rsid w:val="00245ECB"/>
    <w:rsid w:val="002565B1"/>
    <w:rsid w:val="002648C8"/>
    <w:rsid w:val="00280D39"/>
    <w:rsid w:val="00280DAA"/>
    <w:rsid w:val="002A668A"/>
    <w:rsid w:val="002C72D4"/>
    <w:rsid w:val="00317168"/>
    <w:rsid w:val="00322CF2"/>
    <w:rsid w:val="003305D5"/>
    <w:rsid w:val="00352E49"/>
    <w:rsid w:val="0035731E"/>
    <w:rsid w:val="00357DEC"/>
    <w:rsid w:val="003753DA"/>
    <w:rsid w:val="003853C7"/>
    <w:rsid w:val="003D642E"/>
    <w:rsid w:val="003D66B5"/>
    <w:rsid w:val="003E4D5C"/>
    <w:rsid w:val="003E6377"/>
    <w:rsid w:val="003F609E"/>
    <w:rsid w:val="00412B3D"/>
    <w:rsid w:val="00450A37"/>
    <w:rsid w:val="00482D71"/>
    <w:rsid w:val="00497EB0"/>
    <w:rsid w:val="004A17B8"/>
    <w:rsid w:val="004A4ADF"/>
    <w:rsid w:val="004B3A2C"/>
    <w:rsid w:val="004B64FE"/>
    <w:rsid w:val="004B6B9A"/>
    <w:rsid w:val="004C00FF"/>
    <w:rsid w:val="004C02C0"/>
    <w:rsid w:val="004D443E"/>
    <w:rsid w:val="004D5F88"/>
    <w:rsid w:val="004D780C"/>
    <w:rsid w:val="004E4DDA"/>
    <w:rsid w:val="004E6D54"/>
    <w:rsid w:val="005006AE"/>
    <w:rsid w:val="0050428F"/>
    <w:rsid w:val="0051149D"/>
    <w:rsid w:val="00511F6E"/>
    <w:rsid w:val="0051257E"/>
    <w:rsid w:val="00525129"/>
    <w:rsid w:val="00532EDE"/>
    <w:rsid w:val="005406E5"/>
    <w:rsid w:val="0056696B"/>
    <w:rsid w:val="005708CC"/>
    <w:rsid w:val="00573F24"/>
    <w:rsid w:val="005839F4"/>
    <w:rsid w:val="00587F80"/>
    <w:rsid w:val="0059214F"/>
    <w:rsid w:val="00596714"/>
    <w:rsid w:val="00596FC3"/>
    <w:rsid w:val="005A6F07"/>
    <w:rsid w:val="005D3382"/>
    <w:rsid w:val="005D4F11"/>
    <w:rsid w:val="005E0816"/>
    <w:rsid w:val="005E2DC9"/>
    <w:rsid w:val="0060359F"/>
    <w:rsid w:val="00627717"/>
    <w:rsid w:val="00631760"/>
    <w:rsid w:val="00646030"/>
    <w:rsid w:val="006478AA"/>
    <w:rsid w:val="00652DFD"/>
    <w:rsid w:val="00686C07"/>
    <w:rsid w:val="006A49C8"/>
    <w:rsid w:val="006A7E63"/>
    <w:rsid w:val="006B2BC3"/>
    <w:rsid w:val="006D4F01"/>
    <w:rsid w:val="006D716D"/>
    <w:rsid w:val="006E527E"/>
    <w:rsid w:val="006F3674"/>
    <w:rsid w:val="006F6810"/>
    <w:rsid w:val="00713E7C"/>
    <w:rsid w:val="0071673B"/>
    <w:rsid w:val="00730E11"/>
    <w:rsid w:val="0074394B"/>
    <w:rsid w:val="0074534A"/>
    <w:rsid w:val="00757748"/>
    <w:rsid w:val="0077049A"/>
    <w:rsid w:val="007722BC"/>
    <w:rsid w:val="00797065"/>
    <w:rsid w:val="007B6FCC"/>
    <w:rsid w:val="007C7314"/>
    <w:rsid w:val="007E5CDE"/>
    <w:rsid w:val="00802EF2"/>
    <w:rsid w:val="0083313F"/>
    <w:rsid w:val="0083425A"/>
    <w:rsid w:val="0083496F"/>
    <w:rsid w:val="00842B87"/>
    <w:rsid w:val="00845009"/>
    <w:rsid w:val="00847B74"/>
    <w:rsid w:val="008626CB"/>
    <w:rsid w:val="00864855"/>
    <w:rsid w:val="00864BF7"/>
    <w:rsid w:val="00874FE6"/>
    <w:rsid w:val="00884659"/>
    <w:rsid w:val="00894E7E"/>
    <w:rsid w:val="00895534"/>
    <w:rsid w:val="0089564F"/>
    <w:rsid w:val="008A3550"/>
    <w:rsid w:val="008C10B9"/>
    <w:rsid w:val="008D4685"/>
    <w:rsid w:val="008D66B3"/>
    <w:rsid w:val="00901D3B"/>
    <w:rsid w:val="00911745"/>
    <w:rsid w:val="00911B23"/>
    <w:rsid w:val="00947763"/>
    <w:rsid w:val="009616A9"/>
    <w:rsid w:val="00965369"/>
    <w:rsid w:val="0098458F"/>
    <w:rsid w:val="00994BE5"/>
    <w:rsid w:val="00995496"/>
    <w:rsid w:val="009A09E4"/>
    <w:rsid w:val="009B1E50"/>
    <w:rsid w:val="009C12D8"/>
    <w:rsid w:val="009F21FA"/>
    <w:rsid w:val="009F6ABA"/>
    <w:rsid w:val="00A125A1"/>
    <w:rsid w:val="00A21E68"/>
    <w:rsid w:val="00A47861"/>
    <w:rsid w:val="00A500AB"/>
    <w:rsid w:val="00A544C3"/>
    <w:rsid w:val="00A63DFA"/>
    <w:rsid w:val="00A67F61"/>
    <w:rsid w:val="00A72223"/>
    <w:rsid w:val="00A77FAA"/>
    <w:rsid w:val="00AA1D1A"/>
    <w:rsid w:val="00AD32E0"/>
    <w:rsid w:val="00AD4CBE"/>
    <w:rsid w:val="00AD76DF"/>
    <w:rsid w:val="00AE3C30"/>
    <w:rsid w:val="00AF7B04"/>
    <w:rsid w:val="00B607E0"/>
    <w:rsid w:val="00B641DD"/>
    <w:rsid w:val="00B65093"/>
    <w:rsid w:val="00B811E4"/>
    <w:rsid w:val="00B87183"/>
    <w:rsid w:val="00B928CC"/>
    <w:rsid w:val="00B94245"/>
    <w:rsid w:val="00BE62D7"/>
    <w:rsid w:val="00C236C5"/>
    <w:rsid w:val="00C31FBF"/>
    <w:rsid w:val="00C32709"/>
    <w:rsid w:val="00C34CD9"/>
    <w:rsid w:val="00C44823"/>
    <w:rsid w:val="00C50B6B"/>
    <w:rsid w:val="00C56AF0"/>
    <w:rsid w:val="00C63BC9"/>
    <w:rsid w:val="00C735CF"/>
    <w:rsid w:val="00C91E3E"/>
    <w:rsid w:val="00C96988"/>
    <w:rsid w:val="00CA1CF4"/>
    <w:rsid w:val="00CB1E93"/>
    <w:rsid w:val="00CC1958"/>
    <w:rsid w:val="00CD12A1"/>
    <w:rsid w:val="00CD35C5"/>
    <w:rsid w:val="00CF3CF0"/>
    <w:rsid w:val="00D14001"/>
    <w:rsid w:val="00D4089F"/>
    <w:rsid w:val="00D4338D"/>
    <w:rsid w:val="00D51E1D"/>
    <w:rsid w:val="00D541C3"/>
    <w:rsid w:val="00D65AC7"/>
    <w:rsid w:val="00D8000F"/>
    <w:rsid w:val="00D81863"/>
    <w:rsid w:val="00D81C11"/>
    <w:rsid w:val="00D82D3A"/>
    <w:rsid w:val="00D869D4"/>
    <w:rsid w:val="00DB05DF"/>
    <w:rsid w:val="00DB2DF2"/>
    <w:rsid w:val="00DB74E6"/>
    <w:rsid w:val="00DC39EF"/>
    <w:rsid w:val="00E10E79"/>
    <w:rsid w:val="00E34204"/>
    <w:rsid w:val="00E503BA"/>
    <w:rsid w:val="00E52DB6"/>
    <w:rsid w:val="00E778CB"/>
    <w:rsid w:val="00E8523C"/>
    <w:rsid w:val="00E945F1"/>
    <w:rsid w:val="00EA0878"/>
    <w:rsid w:val="00EB029E"/>
    <w:rsid w:val="00EB412C"/>
    <w:rsid w:val="00ED09D7"/>
    <w:rsid w:val="00ED148B"/>
    <w:rsid w:val="00EE2D40"/>
    <w:rsid w:val="00F00434"/>
    <w:rsid w:val="00F04217"/>
    <w:rsid w:val="00F05289"/>
    <w:rsid w:val="00F055C4"/>
    <w:rsid w:val="00F233D5"/>
    <w:rsid w:val="00F30C20"/>
    <w:rsid w:val="00F3435A"/>
    <w:rsid w:val="00F34CF1"/>
    <w:rsid w:val="00F36C7D"/>
    <w:rsid w:val="00F41314"/>
    <w:rsid w:val="00F422F7"/>
    <w:rsid w:val="00F55FA5"/>
    <w:rsid w:val="00F60541"/>
    <w:rsid w:val="00F744AD"/>
    <w:rsid w:val="00F82659"/>
    <w:rsid w:val="00F86CCC"/>
    <w:rsid w:val="00FA14ED"/>
    <w:rsid w:val="00FA4B6E"/>
    <w:rsid w:val="00FB25D9"/>
    <w:rsid w:val="00FD460F"/>
    <w:rsid w:val="00FD7A80"/>
    <w:rsid w:val="00FE1A2C"/>
    <w:rsid w:val="00FF144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925B-81DE-4211-8D8F-D7757874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117</cp:revision>
  <cp:lastPrinted>2019-10-29T11:01:00Z</cp:lastPrinted>
  <dcterms:created xsi:type="dcterms:W3CDTF">2014-10-21T10:41:00Z</dcterms:created>
  <dcterms:modified xsi:type="dcterms:W3CDTF">2023-10-31T08:24:00Z</dcterms:modified>
</cp:coreProperties>
</file>