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524B" w14:textId="77777777" w:rsidR="0043787C" w:rsidRDefault="0043787C" w:rsidP="0043787C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5770B607" wp14:editId="1A0419F7">
            <wp:extent cx="628650" cy="733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E7E0DC" w14:textId="77777777" w:rsidR="0043787C" w:rsidRPr="00F75652" w:rsidRDefault="0043787C" w:rsidP="0043787C">
      <w:pPr>
        <w:jc w:val="center"/>
        <w:rPr>
          <w:b/>
        </w:rPr>
      </w:pPr>
      <w:r w:rsidRPr="00F75652">
        <w:rPr>
          <w:b/>
        </w:rPr>
        <w:t>Местная администрация</w:t>
      </w:r>
    </w:p>
    <w:p w14:paraId="01AA3B0E" w14:textId="77777777" w:rsidR="00F75652" w:rsidRDefault="0043787C" w:rsidP="0043787C">
      <w:pPr>
        <w:jc w:val="center"/>
        <w:rPr>
          <w:b/>
        </w:rPr>
      </w:pPr>
      <w:r w:rsidRPr="00F75652">
        <w:rPr>
          <w:b/>
        </w:rPr>
        <w:t>внутригородского муниципа</w:t>
      </w:r>
      <w:r w:rsidR="009A112F">
        <w:rPr>
          <w:b/>
        </w:rPr>
        <w:t>льного образования</w:t>
      </w:r>
    </w:p>
    <w:p w14:paraId="7AA84779" w14:textId="77777777" w:rsidR="00F75652" w:rsidRDefault="0043787C" w:rsidP="0043787C">
      <w:pPr>
        <w:jc w:val="center"/>
        <w:rPr>
          <w:b/>
        </w:rPr>
      </w:pPr>
      <w:r w:rsidRPr="00F75652">
        <w:rPr>
          <w:b/>
        </w:rPr>
        <w:t xml:space="preserve"> города федерального значения Санкт-Петерб</w:t>
      </w:r>
      <w:r w:rsidR="009A112F">
        <w:rPr>
          <w:b/>
        </w:rPr>
        <w:t>урга</w:t>
      </w:r>
    </w:p>
    <w:p w14:paraId="24CAE06D" w14:textId="77777777" w:rsidR="0043787C" w:rsidRPr="00F75652" w:rsidRDefault="0043787C" w:rsidP="0043787C">
      <w:pPr>
        <w:jc w:val="center"/>
        <w:rPr>
          <w:b/>
        </w:rPr>
      </w:pPr>
      <w:r w:rsidRPr="00F75652">
        <w:rPr>
          <w:b/>
        </w:rPr>
        <w:t>муниципальный округ Невская застава</w:t>
      </w:r>
    </w:p>
    <w:p w14:paraId="1610712B" w14:textId="77777777" w:rsidR="0043787C" w:rsidRPr="00F75652" w:rsidRDefault="0043787C" w:rsidP="0043787C">
      <w:pPr>
        <w:jc w:val="center"/>
      </w:pPr>
      <w:r w:rsidRPr="00F75652">
        <w:t xml:space="preserve"> (Местная администрация МО Невская застава)</w:t>
      </w:r>
    </w:p>
    <w:p w14:paraId="0FD2419C" w14:textId="77777777" w:rsidR="0043787C" w:rsidRPr="001F5441" w:rsidRDefault="0043787C" w:rsidP="00437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__________________________________________________________________</w:t>
      </w:r>
    </w:p>
    <w:p w14:paraId="102BBFFD" w14:textId="667772BD" w:rsidR="0043787C" w:rsidRDefault="0043787C" w:rsidP="00C5036B">
      <w:pPr>
        <w:ind w:left="7080" w:firstLine="708"/>
        <w:jc w:val="center"/>
        <w:rPr>
          <w:b/>
          <w:sz w:val="28"/>
          <w:szCs w:val="28"/>
        </w:rPr>
      </w:pPr>
    </w:p>
    <w:p w14:paraId="7970F6DE" w14:textId="77777777" w:rsidR="0043787C" w:rsidRDefault="0043787C" w:rsidP="004378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DBB980F" w14:textId="1AA8D1A7" w:rsidR="0043787C" w:rsidRPr="00194AF7" w:rsidRDefault="00597B06" w:rsidP="00813076">
      <w:pPr>
        <w:jc w:val="center"/>
        <w:rPr>
          <w:b/>
        </w:rPr>
      </w:pPr>
      <w:r>
        <w:rPr>
          <w:b/>
        </w:rPr>
        <w:t>РАСПОРЯЖЕНИЕ</w:t>
      </w:r>
    </w:p>
    <w:p w14:paraId="20C56991" w14:textId="77777777" w:rsidR="0043787C" w:rsidRDefault="0043787C" w:rsidP="0043787C">
      <w:pPr>
        <w:jc w:val="center"/>
        <w:rPr>
          <w:b/>
          <w:sz w:val="28"/>
          <w:szCs w:val="28"/>
        </w:rPr>
      </w:pPr>
    </w:p>
    <w:p w14:paraId="506FABBA" w14:textId="74A605D6" w:rsidR="0043787C" w:rsidRPr="00477C1C" w:rsidRDefault="00813135" w:rsidP="0043787C">
      <w:pPr>
        <w:jc w:val="both"/>
      </w:pPr>
      <w:r>
        <w:t>22</w:t>
      </w:r>
      <w:r w:rsidR="00622617">
        <w:t>.04.2026</w:t>
      </w:r>
      <w:r w:rsidR="0043787C" w:rsidRPr="00813076">
        <w:t xml:space="preserve">                                                                                </w:t>
      </w:r>
      <w:r w:rsidR="00813076">
        <w:t xml:space="preserve">                            </w:t>
      </w:r>
      <w:r w:rsidR="00C77A58">
        <w:t xml:space="preserve">      </w:t>
      </w:r>
      <w:r w:rsidR="00813076">
        <w:t xml:space="preserve">    </w:t>
      </w:r>
      <w:r w:rsidR="0043787C" w:rsidRPr="00813076">
        <w:t xml:space="preserve">     </w:t>
      </w:r>
      <w:r w:rsidR="0043787C" w:rsidRPr="00813076">
        <w:rPr>
          <w:lang w:val="en-US"/>
        </w:rPr>
        <w:t>N</w:t>
      </w:r>
      <w:r w:rsidR="00813076">
        <w:t>-</w:t>
      </w:r>
      <w:r w:rsidR="00622617">
        <w:t>11</w:t>
      </w:r>
    </w:p>
    <w:p w14:paraId="671BE66B" w14:textId="77777777" w:rsidR="0043787C" w:rsidRPr="00477C1C" w:rsidRDefault="0043787C" w:rsidP="0043787C">
      <w:pPr>
        <w:jc w:val="center"/>
        <w:rPr>
          <w:sz w:val="22"/>
          <w:szCs w:val="22"/>
        </w:rPr>
      </w:pPr>
      <w:r w:rsidRPr="00477C1C">
        <w:rPr>
          <w:sz w:val="22"/>
          <w:szCs w:val="22"/>
        </w:rPr>
        <w:t>Санкт-Петербург</w:t>
      </w:r>
    </w:p>
    <w:p w14:paraId="34638DA2" w14:textId="77777777" w:rsidR="007B1929" w:rsidRPr="00477C1C" w:rsidRDefault="007B1929" w:rsidP="005C0587">
      <w:pPr>
        <w:pStyle w:val="Heading"/>
        <w:rPr>
          <w:rFonts w:ascii="Times New Roman" w:hAnsi="Times New Roman" w:cs="Times New Roman"/>
        </w:rPr>
      </w:pPr>
    </w:p>
    <w:p w14:paraId="53D037D7" w14:textId="77777777" w:rsidR="00E042A2" w:rsidRDefault="00E042A2" w:rsidP="00E042A2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E042A2">
        <w:rPr>
          <w:rFonts w:eastAsia="Calibri"/>
          <w:b/>
          <w:bCs/>
          <w:lang w:eastAsia="en-US"/>
        </w:rPr>
        <w:t xml:space="preserve">Об утверждении Порядка ведения реестра </w:t>
      </w:r>
    </w:p>
    <w:p w14:paraId="4BE28002" w14:textId="77777777" w:rsidR="00E042A2" w:rsidRDefault="00E042A2" w:rsidP="00E042A2">
      <w:pPr>
        <w:autoSpaceDE w:val="0"/>
        <w:autoSpaceDN w:val="0"/>
        <w:adjustRightInd w:val="0"/>
        <w:jc w:val="both"/>
        <w:rPr>
          <w:rStyle w:val="fontstyle01"/>
          <w:b/>
          <w:sz w:val="24"/>
          <w:szCs w:val="24"/>
        </w:rPr>
      </w:pPr>
      <w:r w:rsidRPr="00E042A2">
        <w:rPr>
          <w:rFonts w:eastAsia="Calibri"/>
          <w:b/>
          <w:bCs/>
          <w:lang w:eastAsia="en-US"/>
        </w:rPr>
        <w:t>процессов</w:t>
      </w:r>
      <w:r w:rsidRPr="00E042A2">
        <w:rPr>
          <w:b/>
          <w:color w:val="000000"/>
        </w:rPr>
        <w:t xml:space="preserve"> </w:t>
      </w:r>
      <w:r w:rsidRPr="00E042A2">
        <w:rPr>
          <w:rStyle w:val="fontstyle01"/>
          <w:b/>
          <w:sz w:val="24"/>
          <w:szCs w:val="24"/>
        </w:rPr>
        <w:t xml:space="preserve">в рамках внедрения стандартов </w:t>
      </w:r>
    </w:p>
    <w:p w14:paraId="7A22524F" w14:textId="02936FDF" w:rsidR="009C4FAD" w:rsidRDefault="00E042A2" w:rsidP="00E042A2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042A2">
        <w:rPr>
          <w:rStyle w:val="fontstyle01"/>
          <w:b/>
          <w:sz w:val="24"/>
          <w:szCs w:val="24"/>
        </w:rPr>
        <w:t>клиентоцентричности</w:t>
      </w:r>
      <w:r w:rsidRPr="00E042A2">
        <w:rPr>
          <w:b/>
          <w:color w:val="000000"/>
        </w:rPr>
        <w:t xml:space="preserve"> </w:t>
      </w:r>
      <w:r w:rsidR="009C4FAD">
        <w:rPr>
          <w:b/>
          <w:color w:val="000000"/>
        </w:rPr>
        <w:t xml:space="preserve">в </w:t>
      </w:r>
      <w:r w:rsidR="00E2510D">
        <w:rPr>
          <w:b/>
          <w:color w:val="000000"/>
        </w:rPr>
        <w:t>М</w:t>
      </w:r>
      <w:r w:rsidR="009C4FAD">
        <w:rPr>
          <w:b/>
          <w:color w:val="000000"/>
        </w:rPr>
        <w:t xml:space="preserve">естной администрации </w:t>
      </w:r>
    </w:p>
    <w:p w14:paraId="44971971" w14:textId="77777777" w:rsidR="009C4FAD" w:rsidRDefault="00E042A2" w:rsidP="00E042A2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внутригородско</w:t>
      </w:r>
      <w:r w:rsidR="009C4FAD">
        <w:rPr>
          <w:b/>
          <w:color w:val="000000"/>
        </w:rPr>
        <w:t xml:space="preserve">го </w:t>
      </w:r>
      <w:r w:rsidRPr="00E042A2">
        <w:rPr>
          <w:b/>
          <w:color w:val="000000"/>
        </w:rPr>
        <w:t>муниципально</w:t>
      </w:r>
      <w:r w:rsidR="009C4FAD">
        <w:rPr>
          <w:b/>
          <w:color w:val="000000"/>
        </w:rPr>
        <w:t>го</w:t>
      </w:r>
      <w:r w:rsidRPr="00E042A2">
        <w:rPr>
          <w:b/>
          <w:color w:val="000000"/>
        </w:rPr>
        <w:t xml:space="preserve"> образовани</w:t>
      </w:r>
      <w:r w:rsidR="009C4FAD">
        <w:rPr>
          <w:b/>
          <w:color w:val="000000"/>
        </w:rPr>
        <w:t>я</w:t>
      </w:r>
      <w:r>
        <w:rPr>
          <w:b/>
          <w:color w:val="000000"/>
        </w:rPr>
        <w:t xml:space="preserve"> </w:t>
      </w:r>
    </w:p>
    <w:p w14:paraId="141F21F5" w14:textId="73B7E442" w:rsidR="009C4FAD" w:rsidRDefault="005A7854" w:rsidP="00E042A2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города федерального значения</w:t>
      </w:r>
      <w:r w:rsidR="00E042A2">
        <w:rPr>
          <w:b/>
          <w:color w:val="000000"/>
        </w:rPr>
        <w:t xml:space="preserve"> </w:t>
      </w:r>
      <w:r>
        <w:rPr>
          <w:rFonts w:eastAsia="Calibri"/>
          <w:b/>
          <w:bCs/>
          <w:lang w:eastAsia="en-US"/>
        </w:rPr>
        <w:t xml:space="preserve">Санкт-Петербурга </w:t>
      </w:r>
    </w:p>
    <w:p w14:paraId="733F8D6B" w14:textId="0966835C" w:rsidR="005A7854" w:rsidRPr="00E042A2" w:rsidRDefault="005A7854" w:rsidP="00E042A2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rFonts w:eastAsia="Calibri"/>
          <w:b/>
          <w:bCs/>
          <w:lang w:eastAsia="en-US"/>
        </w:rPr>
        <w:t>муниципальный округ Невская застава</w:t>
      </w:r>
    </w:p>
    <w:p w14:paraId="682149B7" w14:textId="77777777" w:rsidR="005A7854" w:rsidRPr="0083163B" w:rsidRDefault="005A7854" w:rsidP="005A7854">
      <w:pPr>
        <w:jc w:val="center"/>
        <w:outlineLvl w:val="1"/>
        <w:rPr>
          <w:rFonts w:eastAsia="Calibri"/>
          <w:b/>
          <w:bCs/>
          <w:lang w:eastAsia="en-US"/>
        </w:rPr>
      </w:pPr>
    </w:p>
    <w:p w14:paraId="6E7E85AF" w14:textId="261DE34C" w:rsidR="00622617" w:rsidRPr="00D0461C" w:rsidRDefault="00622617" w:rsidP="00622617">
      <w:pPr>
        <w:pStyle w:val="ab"/>
        <w:spacing w:before="0" w:beforeAutospacing="0" w:after="0" w:afterAutospacing="0" w:line="240" w:lineRule="atLeast"/>
        <w:ind w:firstLine="708"/>
        <w:jc w:val="both"/>
      </w:pPr>
      <w:r w:rsidRPr="00D0461C">
        <w:t xml:space="preserve">В рамках реализации федерального проекта «Государство для людей» и во исполнение Плана мероприятий («дорожная карта») по повышению уровня внедрения (зрелости) клиентоцентричности в Санкт-Петербурге, утвержденного 17.06.2025 Губернатором Санкт-Петербурга Бегловым А.Д., руководствуясь Уставом внутригородского муниципального образования города федерального значения Санкт-Петербурга </w:t>
      </w:r>
      <w:r>
        <w:t>муниципальный округ Невская застава</w:t>
      </w:r>
      <w:r w:rsidRPr="00D0461C">
        <w:t xml:space="preserve">, </w:t>
      </w:r>
    </w:p>
    <w:p w14:paraId="1F99E8A3" w14:textId="77777777" w:rsidR="00622617" w:rsidRDefault="00622617" w:rsidP="005A7854">
      <w:pPr>
        <w:spacing w:before="240" w:after="120"/>
        <w:ind w:firstLine="709"/>
        <w:jc w:val="both"/>
      </w:pPr>
    </w:p>
    <w:p w14:paraId="2B31BF8A" w14:textId="02BBFD95" w:rsidR="009E18E5" w:rsidRPr="009E18E5" w:rsidRDefault="009E18E5" w:rsidP="009E18E5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E18E5">
        <w:rPr>
          <w:rFonts w:eastAsia="Calibri"/>
          <w:bCs/>
          <w:lang w:eastAsia="en-US"/>
        </w:rPr>
        <w:t>Утвердить Порядок ведения реестра процессов</w:t>
      </w:r>
      <w:r w:rsidRPr="009E18E5">
        <w:rPr>
          <w:color w:val="000000"/>
        </w:rPr>
        <w:t xml:space="preserve"> </w:t>
      </w:r>
      <w:r w:rsidRPr="009E18E5">
        <w:rPr>
          <w:rStyle w:val="fontstyle01"/>
          <w:sz w:val="24"/>
          <w:szCs w:val="24"/>
        </w:rPr>
        <w:t>в рамках внедрения стандартов клиентоцентричности</w:t>
      </w:r>
      <w:r w:rsidRPr="009E18E5">
        <w:rPr>
          <w:color w:val="000000"/>
        </w:rPr>
        <w:t xml:space="preserve"> в</w:t>
      </w:r>
      <w:r w:rsidR="00834D4E">
        <w:rPr>
          <w:color w:val="000000"/>
        </w:rPr>
        <w:t xml:space="preserve"> </w:t>
      </w:r>
      <w:r w:rsidR="00E2510D">
        <w:rPr>
          <w:color w:val="000000"/>
        </w:rPr>
        <w:t>М</w:t>
      </w:r>
      <w:r w:rsidR="00834D4E">
        <w:rPr>
          <w:color w:val="000000"/>
        </w:rPr>
        <w:t>естной администрации</w:t>
      </w:r>
      <w:r>
        <w:rPr>
          <w:color w:val="000000"/>
        </w:rPr>
        <w:t xml:space="preserve"> внутригородско</w:t>
      </w:r>
      <w:r w:rsidR="00834D4E">
        <w:rPr>
          <w:color w:val="000000"/>
        </w:rPr>
        <w:t>го</w:t>
      </w:r>
      <w:r w:rsidRPr="009E18E5">
        <w:rPr>
          <w:color w:val="000000"/>
        </w:rPr>
        <w:t xml:space="preserve"> муниципально</w:t>
      </w:r>
      <w:r w:rsidR="00834D4E">
        <w:rPr>
          <w:color w:val="000000"/>
        </w:rPr>
        <w:t>го</w:t>
      </w:r>
      <w:r w:rsidRPr="009E18E5">
        <w:rPr>
          <w:color w:val="000000"/>
        </w:rPr>
        <w:t xml:space="preserve"> образовани</w:t>
      </w:r>
      <w:r w:rsidR="00834D4E">
        <w:rPr>
          <w:color w:val="000000"/>
        </w:rPr>
        <w:t>я</w:t>
      </w:r>
      <w:r>
        <w:rPr>
          <w:color w:val="000000"/>
        </w:rPr>
        <w:t xml:space="preserve"> города</w:t>
      </w:r>
      <w:r w:rsidRPr="009E18E5">
        <w:rPr>
          <w:color w:val="000000"/>
        </w:rPr>
        <w:t xml:space="preserve"> </w:t>
      </w:r>
      <w:r>
        <w:rPr>
          <w:color w:val="000000"/>
        </w:rPr>
        <w:t xml:space="preserve">федерального значения Санкт-Петербурга муниципальный округ Невская застава, </w:t>
      </w:r>
      <w:r w:rsidRPr="009E18E5">
        <w:rPr>
          <w:color w:val="000000"/>
        </w:rPr>
        <w:t>согласно приложению.</w:t>
      </w:r>
    </w:p>
    <w:p w14:paraId="2E8DD339" w14:textId="50CD306A" w:rsidR="009E18E5" w:rsidRPr="009E18E5" w:rsidRDefault="00FC7D3D" w:rsidP="009E18E5">
      <w:pPr>
        <w:ind w:firstLine="708"/>
        <w:jc w:val="both"/>
        <w:rPr>
          <w:rFonts w:eastAsia="Calibri"/>
          <w:bCs/>
          <w:lang w:eastAsia="en-US"/>
        </w:rPr>
      </w:pPr>
      <w:r>
        <w:rPr>
          <w:color w:val="000000"/>
        </w:rPr>
        <w:t>2</w:t>
      </w:r>
      <w:r w:rsidR="009E18E5" w:rsidRPr="009E18E5">
        <w:rPr>
          <w:color w:val="000000"/>
        </w:rPr>
        <w:t xml:space="preserve">. </w:t>
      </w:r>
      <w:r w:rsidR="009E18E5">
        <w:rPr>
          <w:color w:val="000000"/>
        </w:rPr>
        <w:t xml:space="preserve">Настоящее </w:t>
      </w:r>
      <w:r w:rsidR="009E18E5">
        <w:rPr>
          <w:rFonts w:eastAsia="Calibri"/>
          <w:bCs/>
          <w:lang w:eastAsia="en-US"/>
        </w:rPr>
        <w:t>р</w:t>
      </w:r>
      <w:r w:rsidR="009E18E5" w:rsidRPr="009E18E5">
        <w:rPr>
          <w:rFonts w:eastAsia="Calibri"/>
          <w:bCs/>
          <w:lang w:eastAsia="en-US"/>
        </w:rPr>
        <w:t>аспоряжение вступает в силу со дня его принятия.</w:t>
      </w:r>
    </w:p>
    <w:p w14:paraId="11ECED21" w14:textId="74F4AFE6" w:rsidR="009E18E5" w:rsidRPr="009E18E5" w:rsidRDefault="00FC7D3D" w:rsidP="009E18E5">
      <w:pPr>
        <w:ind w:firstLine="708"/>
        <w:jc w:val="both"/>
        <w:rPr>
          <w:color w:val="000000"/>
        </w:rPr>
      </w:pPr>
      <w:r>
        <w:rPr>
          <w:rFonts w:eastAsia="Calibri"/>
          <w:bCs/>
          <w:lang w:eastAsia="en-US"/>
        </w:rPr>
        <w:t>3</w:t>
      </w:r>
      <w:r w:rsidR="009E18E5" w:rsidRPr="009E18E5">
        <w:rPr>
          <w:rFonts w:eastAsia="Calibri"/>
          <w:bCs/>
          <w:lang w:eastAsia="en-US"/>
        </w:rPr>
        <w:t xml:space="preserve">. Контроль за исполнением </w:t>
      </w:r>
      <w:r w:rsidR="009E18E5">
        <w:rPr>
          <w:rFonts w:eastAsia="Calibri"/>
          <w:bCs/>
          <w:lang w:eastAsia="en-US"/>
        </w:rPr>
        <w:t xml:space="preserve">настоящего </w:t>
      </w:r>
      <w:r w:rsidR="009E18E5" w:rsidRPr="009E18E5">
        <w:rPr>
          <w:rFonts w:eastAsia="Calibri"/>
          <w:bCs/>
          <w:lang w:eastAsia="en-US"/>
        </w:rPr>
        <w:t xml:space="preserve">распоряжения </w:t>
      </w:r>
      <w:r w:rsidR="009E18E5">
        <w:rPr>
          <w:rFonts w:eastAsia="Calibri"/>
          <w:bCs/>
          <w:lang w:eastAsia="en-US"/>
        </w:rPr>
        <w:t>оставляю за собой.</w:t>
      </w:r>
    </w:p>
    <w:p w14:paraId="4053050D" w14:textId="77777777" w:rsidR="005A7854" w:rsidRDefault="005A7854" w:rsidP="005A7854">
      <w:pPr>
        <w:pStyle w:val="Heading"/>
        <w:jc w:val="both"/>
        <w:rPr>
          <w:rFonts w:ascii="Times New Roman" w:hAnsi="Times New Roman" w:cs="Times New Roman"/>
          <w:b w:val="0"/>
          <w:color w:val="000000"/>
          <w:spacing w:val="-3"/>
          <w:sz w:val="24"/>
          <w:szCs w:val="24"/>
        </w:rPr>
      </w:pPr>
    </w:p>
    <w:p w14:paraId="7310BCAF" w14:textId="77777777" w:rsid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49A1828" w14:textId="77777777" w:rsid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69D8308" w14:textId="77777777" w:rsid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3B8B534" w14:textId="77777777" w:rsidR="00B83C50" w:rsidRP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0C69EE" w14:textId="77777777" w:rsidR="007B1929" w:rsidRDefault="007B1929" w:rsidP="007B1929">
      <w:pPr>
        <w:autoSpaceDE w:val="0"/>
        <w:autoSpaceDN w:val="0"/>
        <w:adjustRightInd w:val="0"/>
      </w:pPr>
      <w:r>
        <w:t>Глава местно</w:t>
      </w:r>
      <w:r w:rsidR="00B83C50">
        <w:t>й администрации</w:t>
      </w:r>
      <w:r w:rsidR="00B83C50">
        <w:tab/>
      </w:r>
      <w:r w:rsidR="00B83C50">
        <w:tab/>
      </w:r>
      <w:r w:rsidR="00B83C50">
        <w:tab/>
      </w:r>
      <w:r w:rsidR="00B83C50">
        <w:tab/>
      </w:r>
      <w:r w:rsidR="00B83C50">
        <w:tab/>
      </w:r>
      <w:r w:rsidR="00B83C50">
        <w:tab/>
      </w:r>
      <w:r w:rsidR="00B83C50">
        <w:tab/>
        <w:t>С.В.Петров</w:t>
      </w:r>
    </w:p>
    <w:p w14:paraId="1748815E" w14:textId="77777777" w:rsidR="007B1929" w:rsidRDefault="007B1929" w:rsidP="007B1929">
      <w:pPr>
        <w:autoSpaceDE w:val="0"/>
        <w:autoSpaceDN w:val="0"/>
        <w:adjustRightInd w:val="0"/>
      </w:pPr>
    </w:p>
    <w:p w14:paraId="5397A593" w14:textId="77777777" w:rsidR="007B1929" w:rsidRDefault="007B1929" w:rsidP="007B1929">
      <w:pPr>
        <w:rPr>
          <w:rFonts w:ascii="Arial" w:hAnsi="Arial" w:cs="Arial"/>
        </w:rPr>
      </w:pPr>
    </w:p>
    <w:p w14:paraId="7BB7DB9B" w14:textId="77777777" w:rsidR="001C3E0D" w:rsidRDefault="001C3E0D"/>
    <w:p w14:paraId="5D990F81" w14:textId="77777777" w:rsidR="0084284F" w:rsidRDefault="0084284F"/>
    <w:p w14:paraId="6C8A3570" w14:textId="77777777" w:rsidR="0084284F" w:rsidRDefault="0084284F"/>
    <w:p w14:paraId="2A922164" w14:textId="77777777" w:rsidR="0084284F" w:rsidRDefault="0084284F"/>
    <w:p w14:paraId="01B9E511" w14:textId="77777777" w:rsidR="0084284F" w:rsidRDefault="0084284F"/>
    <w:p w14:paraId="28BDDB79" w14:textId="77777777" w:rsidR="0084284F" w:rsidRPr="0084284F" w:rsidRDefault="0084284F" w:rsidP="0084284F">
      <w:pPr>
        <w:ind w:firstLine="709"/>
        <w:jc w:val="right"/>
        <w:rPr>
          <w:sz w:val="20"/>
          <w:szCs w:val="20"/>
        </w:rPr>
      </w:pPr>
      <w:r w:rsidRPr="0084284F">
        <w:rPr>
          <w:sz w:val="20"/>
          <w:szCs w:val="20"/>
        </w:rPr>
        <w:lastRenderedPageBreak/>
        <w:t>Приложение</w:t>
      </w:r>
    </w:p>
    <w:p w14:paraId="16998B19" w14:textId="171E11BB" w:rsidR="0084284F" w:rsidRPr="0084284F" w:rsidRDefault="0084284F" w:rsidP="0084284F">
      <w:pPr>
        <w:ind w:firstLine="709"/>
        <w:jc w:val="right"/>
        <w:rPr>
          <w:sz w:val="20"/>
          <w:szCs w:val="20"/>
        </w:rPr>
      </w:pPr>
      <w:r w:rsidRPr="0084284F">
        <w:rPr>
          <w:sz w:val="20"/>
          <w:szCs w:val="20"/>
        </w:rPr>
        <w:t xml:space="preserve">к распоряжению </w:t>
      </w:r>
      <w:r w:rsidR="00FD62EC">
        <w:rPr>
          <w:sz w:val="20"/>
          <w:szCs w:val="20"/>
        </w:rPr>
        <w:t>М</w:t>
      </w:r>
      <w:r w:rsidRPr="0084284F">
        <w:rPr>
          <w:sz w:val="20"/>
          <w:szCs w:val="20"/>
        </w:rPr>
        <w:t>естной администрации</w:t>
      </w:r>
    </w:p>
    <w:p w14:paraId="1B7A0544" w14:textId="51BDE9D8" w:rsidR="0084284F" w:rsidRPr="0084284F" w:rsidRDefault="0084284F" w:rsidP="0084284F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МО Невская застава</w:t>
      </w:r>
    </w:p>
    <w:p w14:paraId="3328CA9C" w14:textId="54E6BEC5" w:rsidR="0084284F" w:rsidRPr="0084284F" w:rsidRDefault="0084284F" w:rsidP="0084284F">
      <w:pPr>
        <w:ind w:firstLine="709"/>
        <w:jc w:val="right"/>
        <w:rPr>
          <w:sz w:val="20"/>
          <w:szCs w:val="20"/>
        </w:rPr>
      </w:pPr>
      <w:r w:rsidRPr="0084284F">
        <w:rPr>
          <w:sz w:val="20"/>
          <w:szCs w:val="20"/>
        </w:rPr>
        <w:t>от «</w:t>
      </w:r>
      <w:r w:rsidR="00F92418">
        <w:rPr>
          <w:sz w:val="20"/>
          <w:szCs w:val="20"/>
        </w:rPr>
        <w:t>22</w:t>
      </w:r>
      <w:r w:rsidRPr="0084284F">
        <w:rPr>
          <w:sz w:val="20"/>
          <w:szCs w:val="20"/>
        </w:rPr>
        <w:t xml:space="preserve">» апреля 2026 г. № </w:t>
      </w:r>
      <w:r>
        <w:rPr>
          <w:sz w:val="20"/>
          <w:szCs w:val="20"/>
        </w:rPr>
        <w:t>11</w:t>
      </w:r>
    </w:p>
    <w:p w14:paraId="3EF19265" w14:textId="77777777" w:rsidR="0084284F" w:rsidRPr="00D0461C" w:rsidRDefault="0084284F" w:rsidP="0084284F">
      <w:pPr>
        <w:ind w:firstLine="709"/>
        <w:jc w:val="both"/>
      </w:pPr>
    </w:p>
    <w:p w14:paraId="2D9A8E1C" w14:textId="18FEEE60" w:rsidR="00196C27" w:rsidRDefault="0084284F" w:rsidP="0084284F">
      <w:pPr>
        <w:pStyle w:val="ac"/>
        <w:spacing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DE5628">
        <w:rPr>
          <w:b/>
          <w:sz w:val="24"/>
          <w:szCs w:val="24"/>
        </w:rPr>
        <w:t>ОРЯДОК</w:t>
      </w:r>
    </w:p>
    <w:p w14:paraId="01D44355" w14:textId="77777777" w:rsidR="001C0D23" w:rsidRDefault="0084284F" w:rsidP="0084284F">
      <w:pPr>
        <w:pStyle w:val="ac"/>
        <w:spacing w:line="240" w:lineRule="auto"/>
        <w:ind w:firstLine="567"/>
        <w:jc w:val="center"/>
        <w:rPr>
          <w:b/>
          <w:color w:val="000000"/>
          <w:sz w:val="24"/>
          <w:szCs w:val="24"/>
        </w:rPr>
      </w:pPr>
      <w:r w:rsidRPr="00D0461C">
        <w:rPr>
          <w:b/>
          <w:sz w:val="24"/>
          <w:szCs w:val="24"/>
        </w:rPr>
        <w:t xml:space="preserve">ведения реестра процессов </w:t>
      </w:r>
      <w:r w:rsidRPr="00D0461C">
        <w:rPr>
          <w:rStyle w:val="fontstyle01"/>
          <w:b/>
          <w:sz w:val="24"/>
          <w:szCs w:val="24"/>
        </w:rPr>
        <w:t>в рамках внедрения стандартов</w:t>
      </w:r>
      <w:r w:rsidR="001C0D23">
        <w:rPr>
          <w:rStyle w:val="fontstyle01"/>
          <w:b/>
          <w:sz w:val="24"/>
          <w:szCs w:val="24"/>
        </w:rPr>
        <w:t xml:space="preserve"> </w:t>
      </w:r>
      <w:r w:rsidRPr="00D0461C">
        <w:rPr>
          <w:rStyle w:val="fontstyle01"/>
          <w:b/>
          <w:sz w:val="24"/>
          <w:szCs w:val="24"/>
        </w:rPr>
        <w:t>клиентоцентричности</w:t>
      </w:r>
      <w:r w:rsidR="009C4FAD">
        <w:rPr>
          <w:b/>
          <w:color w:val="000000"/>
          <w:sz w:val="24"/>
          <w:szCs w:val="24"/>
        </w:rPr>
        <w:t xml:space="preserve"> в </w:t>
      </w:r>
      <w:r w:rsidR="00E2510D">
        <w:rPr>
          <w:b/>
          <w:color w:val="000000"/>
          <w:sz w:val="24"/>
          <w:szCs w:val="24"/>
        </w:rPr>
        <w:t>М</w:t>
      </w:r>
      <w:r w:rsidR="009C4FAD">
        <w:rPr>
          <w:b/>
          <w:color w:val="000000"/>
          <w:sz w:val="24"/>
          <w:szCs w:val="24"/>
        </w:rPr>
        <w:t>естной администрации</w:t>
      </w:r>
      <w:r>
        <w:rPr>
          <w:b/>
          <w:color w:val="000000"/>
          <w:sz w:val="24"/>
          <w:szCs w:val="24"/>
        </w:rPr>
        <w:t xml:space="preserve"> внутригородско</w:t>
      </w:r>
      <w:r w:rsidR="00276A17">
        <w:rPr>
          <w:b/>
          <w:color w:val="000000"/>
          <w:sz w:val="24"/>
          <w:szCs w:val="24"/>
        </w:rPr>
        <w:t>го</w:t>
      </w:r>
      <w:r>
        <w:rPr>
          <w:b/>
          <w:color w:val="000000"/>
          <w:sz w:val="24"/>
          <w:szCs w:val="24"/>
        </w:rPr>
        <w:t xml:space="preserve"> </w:t>
      </w:r>
    </w:p>
    <w:p w14:paraId="05757855" w14:textId="0FB08468" w:rsidR="00276A17" w:rsidRDefault="0084284F" w:rsidP="0084284F">
      <w:pPr>
        <w:pStyle w:val="ac"/>
        <w:spacing w:line="240" w:lineRule="auto"/>
        <w:ind w:firstLine="567"/>
        <w:jc w:val="center"/>
        <w:rPr>
          <w:b/>
          <w:color w:val="000000"/>
          <w:sz w:val="24"/>
          <w:szCs w:val="24"/>
        </w:rPr>
      </w:pPr>
      <w:r w:rsidRPr="00D0461C">
        <w:rPr>
          <w:b/>
          <w:color w:val="000000"/>
          <w:sz w:val="24"/>
          <w:szCs w:val="24"/>
        </w:rPr>
        <w:t>муниципально</w:t>
      </w:r>
      <w:r w:rsidR="00276A17">
        <w:rPr>
          <w:b/>
          <w:color w:val="000000"/>
          <w:sz w:val="24"/>
          <w:szCs w:val="24"/>
        </w:rPr>
        <w:t>го</w:t>
      </w:r>
      <w:r w:rsidRPr="00D0461C">
        <w:rPr>
          <w:b/>
          <w:color w:val="000000"/>
          <w:sz w:val="24"/>
          <w:szCs w:val="24"/>
        </w:rPr>
        <w:t xml:space="preserve"> образовани</w:t>
      </w:r>
      <w:r w:rsidR="009C4FAD">
        <w:rPr>
          <w:b/>
          <w:color w:val="000000"/>
          <w:sz w:val="24"/>
          <w:szCs w:val="24"/>
        </w:rPr>
        <w:t>я</w:t>
      </w:r>
      <w:r>
        <w:rPr>
          <w:b/>
          <w:color w:val="000000"/>
          <w:sz w:val="24"/>
          <w:szCs w:val="24"/>
        </w:rPr>
        <w:t xml:space="preserve"> города федерального значения Санкт-Петербурга </w:t>
      </w:r>
    </w:p>
    <w:p w14:paraId="548A10B8" w14:textId="1FAE86C8" w:rsidR="0084284F" w:rsidRPr="00D0461C" w:rsidRDefault="0084284F" w:rsidP="0084284F">
      <w:pPr>
        <w:pStyle w:val="ac"/>
        <w:spacing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муниципальный округ Невская застава</w:t>
      </w:r>
    </w:p>
    <w:p w14:paraId="4FB04F7D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</w:p>
    <w:p w14:paraId="39E656C9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r w:rsidRPr="00D0461C">
        <w:rPr>
          <w:rFonts w:ascii="Times New Roman" w:hAnsi="Times New Roman"/>
          <w:sz w:val="24"/>
          <w:szCs w:val="24"/>
        </w:rPr>
        <w:t>1. Общие положения</w:t>
      </w:r>
    </w:p>
    <w:p w14:paraId="549C37D5" w14:textId="75B73557" w:rsidR="0084284F" w:rsidRPr="00D0461C" w:rsidRDefault="0084284F" w:rsidP="0084284F">
      <w:pPr>
        <w:pStyle w:val="a"/>
        <w:numPr>
          <w:ilvl w:val="0"/>
          <w:numId w:val="0"/>
        </w:numPr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rStyle w:val="fontstyle01"/>
          <w:sz w:val="24"/>
          <w:szCs w:val="24"/>
        </w:rPr>
        <w:t xml:space="preserve">Настоящий Порядок включает информацию по </w:t>
      </w:r>
      <w:r w:rsidRPr="00D0461C">
        <w:rPr>
          <w:sz w:val="24"/>
          <w:szCs w:val="24"/>
        </w:rPr>
        <w:t>организации работы по формированию и ведению реестра процессов</w:t>
      </w:r>
      <w:r>
        <w:rPr>
          <w:sz w:val="24"/>
          <w:szCs w:val="24"/>
        </w:rPr>
        <w:t xml:space="preserve"> </w:t>
      </w:r>
      <w:r w:rsidR="00EA61B0">
        <w:rPr>
          <w:sz w:val="24"/>
          <w:szCs w:val="24"/>
        </w:rPr>
        <w:t>М</w:t>
      </w:r>
      <w:r>
        <w:rPr>
          <w:sz w:val="24"/>
          <w:szCs w:val="24"/>
        </w:rPr>
        <w:t xml:space="preserve">естной администрации </w:t>
      </w:r>
      <w:r w:rsidRPr="00D0461C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sz w:val="24"/>
          <w:szCs w:val="24"/>
        </w:rPr>
        <w:t>муниципальный округ Невская застава (далее – местная администрация)</w:t>
      </w:r>
      <w:r w:rsidRPr="00D0461C">
        <w:rPr>
          <w:sz w:val="24"/>
          <w:szCs w:val="24"/>
        </w:rPr>
        <w:t xml:space="preserve">, периодичности актуализации реестра процессов </w:t>
      </w:r>
      <w:r>
        <w:rPr>
          <w:rStyle w:val="fontstyle01"/>
          <w:sz w:val="24"/>
          <w:szCs w:val="24"/>
        </w:rPr>
        <w:t xml:space="preserve">местной администрации </w:t>
      </w:r>
      <w:r w:rsidRPr="00D0461C">
        <w:rPr>
          <w:sz w:val="24"/>
          <w:szCs w:val="24"/>
        </w:rPr>
        <w:t>(закрепление за ответственным сотрудником функции по внесению изменений в реестр процессов), порядке сбора информации для внесения изменений</w:t>
      </w:r>
      <w:r>
        <w:rPr>
          <w:sz w:val="24"/>
          <w:szCs w:val="24"/>
        </w:rPr>
        <w:t xml:space="preserve"> </w:t>
      </w:r>
      <w:r w:rsidRPr="00D0461C">
        <w:rPr>
          <w:sz w:val="24"/>
          <w:szCs w:val="24"/>
        </w:rPr>
        <w:t xml:space="preserve">в реестр процессов, корректному заполнению реестра процессов </w:t>
      </w:r>
      <w:r w:rsidRPr="00D0461C">
        <w:rPr>
          <w:rStyle w:val="fontstyle01"/>
          <w:sz w:val="24"/>
          <w:szCs w:val="24"/>
        </w:rPr>
        <w:t>в рамках внедрения стандартов клиентоцентричности</w:t>
      </w:r>
      <w:r>
        <w:rPr>
          <w:rStyle w:val="fontstyle01"/>
          <w:sz w:val="24"/>
          <w:szCs w:val="24"/>
        </w:rPr>
        <w:t xml:space="preserve"> </w:t>
      </w:r>
      <w:r w:rsidRPr="00D0461C">
        <w:rPr>
          <w:rStyle w:val="fontstyle01"/>
          <w:sz w:val="24"/>
          <w:szCs w:val="24"/>
        </w:rPr>
        <w:t>в Санкт-Петербурге.</w:t>
      </w:r>
    </w:p>
    <w:p w14:paraId="0816C5EB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Реестр процессов в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sz w:val="24"/>
          <w:szCs w:val="24"/>
        </w:rPr>
        <w:t xml:space="preserve"> (далее </w:t>
      </w:r>
      <w:r w:rsidRPr="00D0461C">
        <w:rPr>
          <w:rStyle w:val="fontstyle01"/>
          <w:sz w:val="24"/>
          <w:szCs w:val="24"/>
        </w:rPr>
        <w:t xml:space="preserve">– реестр процессов) утверждается главой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sz w:val="24"/>
          <w:szCs w:val="24"/>
        </w:rPr>
        <w:t xml:space="preserve"> и ведется по форме согласно Приложению № 1 с целью:</w:t>
      </w:r>
    </w:p>
    <w:p w14:paraId="6CB36C2F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– формирования полной и актуальной базы знаний, содержащей информацию </w:t>
      </w:r>
      <w:r w:rsidRPr="00D0461C">
        <w:rPr>
          <w:sz w:val="24"/>
          <w:szCs w:val="24"/>
        </w:rPr>
        <w:br/>
        <w:t xml:space="preserve">о деятельности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sz w:val="24"/>
          <w:szCs w:val="24"/>
        </w:rPr>
        <w:t>;</w:t>
      </w:r>
    </w:p>
    <w:p w14:paraId="3A4A4089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– выявления межведомственных и внутриведомственных процессов;</w:t>
      </w:r>
    </w:p>
    <w:p w14:paraId="4D9A8C2E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– создания основы для внедрения принципов и стандартов клиентоцентричности.</w:t>
      </w:r>
    </w:p>
    <w:p w14:paraId="3D009455" w14:textId="77777777" w:rsidR="0084284F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0" w:name="_Toc122606275"/>
      <w:bookmarkStart w:id="1" w:name="_Toc146527868"/>
    </w:p>
    <w:p w14:paraId="5A474FA1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r w:rsidRPr="00D0461C">
        <w:rPr>
          <w:rFonts w:ascii="Times New Roman" w:hAnsi="Times New Roman"/>
          <w:sz w:val="24"/>
          <w:szCs w:val="24"/>
        </w:rPr>
        <w:t>2. Термины и определения</w:t>
      </w:r>
      <w:bookmarkEnd w:id="0"/>
      <w:bookmarkEnd w:id="1"/>
    </w:p>
    <w:p w14:paraId="7CC6A9A7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t>Владелец процесса </w:t>
      </w:r>
      <w:r w:rsidRPr="00D0461C">
        <w:rPr>
          <w:rStyle w:val="fontstyle01"/>
          <w:sz w:val="24"/>
          <w:szCs w:val="24"/>
        </w:rPr>
        <w:t xml:space="preserve">– должностное лицо, которое имеет в своем распоряжении выделенные ресурсы, управляет ходом процесса и несет ответственность за результаты </w:t>
      </w:r>
      <w:r w:rsidRPr="00D0461C">
        <w:rPr>
          <w:rStyle w:val="fontstyle01"/>
          <w:sz w:val="24"/>
          <w:szCs w:val="24"/>
        </w:rPr>
        <w:br/>
        <w:t>и эффективность процесса.</w:t>
      </w:r>
    </w:p>
    <w:p w14:paraId="6C676786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i/>
          <w:sz w:val="24"/>
          <w:szCs w:val="24"/>
        </w:rPr>
        <w:t>Внешний клиент </w:t>
      </w:r>
      <w:r w:rsidRPr="00D0461C">
        <w:rPr>
          <w:sz w:val="24"/>
          <w:szCs w:val="24"/>
        </w:rPr>
        <w:t>– физическое или юридическое лицо</w:t>
      </w:r>
      <w:r w:rsidRPr="00D0461C">
        <w:rPr>
          <w:i/>
          <w:sz w:val="24"/>
          <w:szCs w:val="24"/>
        </w:rPr>
        <w:t>,</w:t>
      </w:r>
      <w:r w:rsidRPr="00D0461C">
        <w:rPr>
          <w:sz w:val="24"/>
          <w:szCs w:val="24"/>
        </w:rPr>
        <w:t xml:space="preserve"> взаимодействующее самостоятельно или через уполномоченного представителя с </w:t>
      </w:r>
      <w:r>
        <w:rPr>
          <w:rStyle w:val="fontstyle01"/>
          <w:sz w:val="24"/>
          <w:szCs w:val="24"/>
        </w:rPr>
        <w:t>местной администрацией</w:t>
      </w:r>
      <w:r w:rsidRPr="00D0461C">
        <w:rPr>
          <w:sz w:val="24"/>
          <w:szCs w:val="24"/>
        </w:rPr>
        <w:t xml:space="preserve"> с целью удовлетворения своих потребностей.</w:t>
      </w:r>
    </w:p>
    <w:p w14:paraId="55FB6342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i/>
          <w:sz w:val="24"/>
          <w:szCs w:val="24"/>
        </w:rPr>
        <w:t>Внешний поставщик </w:t>
      </w:r>
      <w:r w:rsidRPr="00D0461C">
        <w:rPr>
          <w:sz w:val="24"/>
          <w:szCs w:val="24"/>
        </w:rPr>
        <w:t xml:space="preserve">– физические или юридические лица и ведомства, находящиеся вне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sz w:val="24"/>
          <w:szCs w:val="24"/>
        </w:rPr>
        <w:t xml:space="preserve"> и предоставляющие ресурсы, необходимые для выполнения процесса.</w:t>
      </w:r>
    </w:p>
    <w:p w14:paraId="281BC441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i/>
          <w:sz w:val="24"/>
          <w:szCs w:val="24"/>
        </w:rPr>
        <w:t>Внутренний клиент</w:t>
      </w:r>
      <w:r w:rsidRPr="00D0461C">
        <w:rPr>
          <w:sz w:val="24"/>
          <w:szCs w:val="24"/>
        </w:rPr>
        <w:t xml:space="preserve"> – муниципальный служащий, работник подведомственной органу местного самоуправления организации. </w:t>
      </w:r>
    </w:p>
    <w:p w14:paraId="4C44ACF5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i/>
          <w:sz w:val="24"/>
          <w:szCs w:val="24"/>
        </w:rPr>
        <w:t>Внутренний поставщик </w:t>
      </w:r>
      <w:r w:rsidRPr="00D0461C">
        <w:rPr>
          <w:sz w:val="24"/>
          <w:szCs w:val="24"/>
        </w:rPr>
        <w:t xml:space="preserve">– муниципальный служащий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0461C">
        <w:rPr>
          <w:sz w:val="24"/>
          <w:szCs w:val="24"/>
        </w:rPr>
        <w:t>предоставляющий ресурсы, необходимые для выполнения процесса.</w:t>
      </w:r>
    </w:p>
    <w:p w14:paraId="01AC0774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t>Внутриведомственный процесс</w:t>
      </w:r>
      <w:r w:rsidRPr="00D0461C">
        <w:rPr>
          <w:rStyle w:val="fontstyle01"/>
          <w:sz w:val="24"/>
          <w:szCs w:val="24"/>
        </w:rPr>
        <w:t xml:space="preserve"> – процесс, в котором участвует несколько </w:t>
      </w:r>
      <w:r>
        <w:rPr>
          <w:rStyle w:val="fontstyle01"/>
          <w:sz w:val="24"/>
          <w:szCs w:val="24"/>
        </w:rPr>
        <w:t>муниципальных служащих (</w:t>
      </w:r>
      <w:r w:rsidRPr="00D0461C">
        <w:rPr>
          <w:rStyle w:val="fontstyle01"/>
          <w:sz w:val="24"/>
          <w:szCs w:val="24"/>
        </w:rPr>
        <w:t>структурных подразделений</w:t>
      </w:r>
      <w:r>
        <w:rPr>
          <w:rStyle w:val="fontstyle01"/>
          <w:sz w:val="24"/>
          <w:szCs w:val="24"/>
        </w:rPr>
        <w:t>) местной администрации</w:t>
      </w:r>
      <w:r w:rsidRPr="00D0461C">
        <w:rPr>
          <w:rStyle w:val="fontstyle01"/>
          <w:sz w:val="24"/>
          <w:szCs w:val="24"/>
        </w:rPr>
        <w:t>.</w:t>
      </w:r>
    </w:p>
    <w:p w14:paraId="3FA69574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t>Вход процесса</w:t>
      </w:r>
      <w:r w:rsidRPr="00D0461C">
        <w:rPr>
          <w:rStyle w:val="fontstyle01"/>
          <w:sz w:val="24"/>
          <w:szCs w:val="24"/>
        </w:rPr>
        <w:t> – преобразуемый ресурс или ресурс по управлению, необходимый для выполнения процесса, поставляемый другими процессами.</w:t>
      </w:r>
    </w:p>
    <w:p w14:paraId="74C05257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i/>
          <w:iCs/>
          <w:sz w:val="24"/>
          <w:szCs w:val="24"/>
        </w:rPr>
        <w:t xml:space="preserve">Выход процесса </w:t>
      </w:r>
      <w:r w:rsidRPr="00D0461C">
        <w:rPr>
          <w:sz w:val="24"/>
          <w:szCs w:val="24"/>
        </w:rPr>
        <w:t>– преобразованный при выполнении процесса ресурс.</w:t>
      </w:r>
    </w:p>
    <w:p w14:paraId="1123C43A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t>Границы процесса</w:t>
      </w:r>
      <w:r w:rsidRPr="00D0461C">
        <w:rPr>
          <w:rStyle w:val="fontstyle01"/>
          <w:sz w:val="24"/>
          <w:szCs w:val="24"/>
        </w:rPr>
        <w:t> – событие (совокупность событий), инициирующее</w:t>
      </w:r>
      <w:r w:rsidRPr="00D0461C">
        <w:rPr>
          <w:rStyle w:val="fontstyle01"/>
          <w:sz w:val="24"/>
          <w:szCs w:val="24"/>
        </w:rPr>
        <w:br/>
        <w:t>и завершающее процесс.</w:t>
      </w:r>
    </w:p>
    <w:p w14:paraId="242B98D9" w14:textId="77777777" w:rsidR="0084284F" w:rsidRPr="00D0461C" w:rsidRDefault="0084284F" w:rsidP="0084284F">
      <w:pPr>
        <w:pStyle w:val="ac"/>
        <w:spacing w:line="240" w:lineRule="auto"/>
        <w:ind w:firstLine="567"/>
        <w:rPr>
          <w:iCs/>
          <w:sz w:val="24"/>
          <w:szCs w:val="24"/>
        </w:rPr>
      </w:pPr>
      <w:r w:rsidRPr="00D0461C">
        <w:rPr>
          <w:i/>
          <w:sz w:val="24"/>
          <w:szCs w:val="24"/>
        </w:rPr>
        <w:t>Декомпозиция процесса </w:t>
      </w:r>
      <w:r w:rsidRPr="00D0461C">
        <w:rPr>
          <w:iCs/>
          <w:sz w:val="24"/>
          <w:szCs w:val="24"/>
        </w:rPr>
        <w:t>– разделение его на составляющие части.</w:t>
      </w:r>
    </w:p>
    <w:p w14:paraId="37938404" w14:textId="77777777" w:rsidR="0084284F" w:rsidRPr="00D0461C" w:rsidRDefault="0084284F" w:rsidP="0084284F">
      <w:pPr>
        <w:pStyle w:val="ac"/>
        <w:spacing w:line="240" w:lineRule="auto"/>
        <w:ind w:firstLine="567"/>
        <w:rPr>
          <w:i/>
          <w:sz w:val="24"/>
          <w:szCs w:val="24"/>
        </w:rPr>
      </w:pPr>
      <w:r w:rsidRPr="00D0461C">
        <w:rPr>
          <w:i/>
          <w:sz w:val="24"/>
          <w:szCs w:val="24"/>
        </w:rPr>
        <w:t>Жизненная ситуация </w:t>
      </w:r>
      <w:r w:rsidRPr="00D0461C">
        <w:rPr>
          <w:sz w:val="24"/>
          <w:szCs w:val="24"/>
        </w:rPr>
        <w:t>– наличие или наступление обстоятельств, влекущих для клиента возможность или необходимость взаимодействовать</w:t>
      </w:r>
      <w:r>
        <w:rPr>
          <w:sz w:val="24"/>
          <w:szCs w:val="24"/>
        </w:rPr>
        <w:t xml:space="preserve"> </w:t>
      </w:r>
      <w:r w:rsidRPr="00D0461C">
        <w:rPr>
          <w:sz w:val="24"/>
          <w:szCs w:val="24"/>
        </w:rPr>
        <w:t xml:space="preserve">с </w:t>
      </w:r>
      <w:r>
        <w:rPr>
          <w:rStyle w:val="fontstyle01"/>
          <w:sz w:val="24"/>
          <w:szCs w:val="24"/>
        </w:rPr>
        <w:t>местной администрацией</w:t>
      </w:r>
      <w:r w:rsidRPr="00D0461C">
        <w:rPr>
          <w:sz w:val="24"/>
          <w:szCs w:val="24"/>
        </w:rPr>
        <w:t xml:space="preserve"> в целях получения услуг и сервисов.</w:t>
      </w:r>
    </w:p>
    <w:p w14:paraId="313C565C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i/>
          <w:sz w:val="24"/>
          <w:szCs w:val="24"/>
        </w:rPr>
        <w:t>Завершающее событие </w:t>
      </w:r>
      <w:r w:rsidRPr="00D0461C">
        <w:rPr>
          <w:sz w:val="24"/>
          <w:szCs w:val="24"/>
        </w:rPr>
        <w:t>– событие, которым завершается процесс.</w:t>
      </w:r>
    </w:p>
    <w:p w14:paraId="72C9D725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lastRenderedPageBreak/>
        <w:t>Инициирующее событие</w:t>
      </w:r>
      <w:r w:rsidRPr="00D0461C">
        <w:rPr>
          <w:rStyle w:val="fontstyle01"/>
          <w:sz w:val="24"/>
          <w:szCs w:val="24"/>
        </w:rPr>
        <w:t> – событие, при наступлении которого начинается процесс.</w:t>
      </w:r>
    </w:p>
    <w:p w14:paraId="444F8A79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i/>
          <w:sz w:val="24"/>
          <w:szCs w:val="24"/>
        </w:rPr>
        <w:t>Исполнитель (участник) процесса – </w:t>
      </w:r>
      <w:r w:rsidRPr="00D0461C">
        <w:rPr>
          <w:iCs/>
          <w:sz w:val="24"/>
          <w:szCs w:val="24"/>
        </w:rPr>
        <w:t>подразделение (должностное лицо), участвующее в преобразованиях входов в выходы в рамках процесса.</w:t>
      </w:r>
      <w:r w:rsidRPr="00D0461C">
        <w:rPr>
          <w:sz w:val="24"/>
          <w:szCs w:val="24"/>
        </w:rPr>
        <w:t xml:space="preserve"> У каждого процесса может быть один или несколько исполнителей.</w:t>
      </w:r>
    </w:p>
    <w:p w14:paraId="3A800A51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i/>
          <w:sz w:val="24"/>
          <w:szCs w:val="24"/>
        </w:rPr>
        <w:t>Конечный клиент</w:t>
      </w:r>
      <w:r w:rsidRPr="00D0461C">
        <w:rPr>
          <w:sz w:val="24"/>
          <w:szCs w:val="24"/>
        </w:rPr>
        <w:t xml:space="preserve"> – клиент, использующий результат процесса.</w:t>
      </w:r>
    </w:p>
    <w:p w14:paraId="5D188E68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t>Межведомственный процесс</w:t>
      </w:r>
      <w:r w:rsidRPr="00D0461C">
        <w:rPr>
          <w:rStyle w:val="fontstyle01"/>
          <w:sz w:val="24"/>
          <w:szCs w:val="24"/>
        </w:rPr>
        <w:t> – процесс, в выполнении которого принимают участие сотрудники нескольких органов местного самоуправления.</w:t>
      </w:r>
    </w:p>
    <w:p w14:paraId="121C027A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i/>
          <w:iCs/>
          <w:sz w:val="24"/>
          <w:szCs w:val="24"/>
        </w:rPr>
        <w:t>Поставщик (поступает от) </w:t>
      </w:r>
      <w:r w:rsidRPr="00D0461C">
        <w:rPr>
          <w:sz w:val="24"/>
          <w:szCs w:val="24"/>
        </w:rPr>
        <w:t>– субъект, предоставляющий ресурсы, необходимые для выполнения процесса. Поставщики могут быть внешними</w:t>
      </w:r>
      <w:r>
        <w:rPr>
          <w:sz w:val="24"/>
          <w:szCs w:val="24"/>
        </w:rPr>
        <w:t xml:space="preserve"> </w:t>
      </w:r>
      <w:r w:rsidRPr="00D0461C">
        <w:rPr>
          <w:sz w:val="24"/>
          <w:szCs w:val="24"/>
        </w:rPr>
        <w:t>и внутренними.</w:t>
      </w:r>
    </w:p>
    <w:p w14:paraId="5797BBDD" w14:textId="77777777" w:rsidR="0084284F" w:rsidRPr="00D0461C" w:rsidRDefault="0084284F" w:rsidP="0084284F">
      <w:pPr>
        <w:pStyle w:val="ac"/>
        <w:spacing w:line="240" w:lineRule="auto"/>
        <w:ind w:right="-143" w:firstLine="567"/>
        <w:rPr>
          <w:rStyle w:val="fontstyle01"/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t>Процесс</w:t>
      </w:r>
      <w:r w:rsidRPr="00D0461C">
        <w:rPr>
          <w:rStyle w:val="fontstyle01"/>
          <w:sz w:val="24"/>
          <w:szCs w:val="24"/>
        </w:rPr>
        <w:t> – это совокупность взаимосвязанных и (или) взаимодействующих видов деятельности, использующих входы для получения результата.</w:t>
      </w:r>
    </w:p>
    <w:p w14:paraId="730EFA4E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t>Процессный подход к управлению</w:t>
      </w:r>
      <w:r w:rsidRPr="00D0461C">
        <w:rPr>
          <w:rStyle w:val="fontstyle01"/>
          <w:sz w:val="24"/>
          <w:szCs w:val="24"/>
        </w:rPr>
        <w:t xml:space="preserve"> – построение системы процессов, управление этими процессами для получения наилучших результатов, повышения эффективности </w:t>
      </w:r>
      <w:r w:rsidRPr="00D0461C">
        <w:rPr>
          <w:rStyle w:val="fontstyle01"/>
          <w:sz w:val="24"/>
          <w:szCs w:val="24"/>
        </w:rPr>
        <w:br/>
        <w:t>и обеспечения удовлетворенности клиентов.</w:t>
      </w:r>
    </w:p>
    <w:p w14:paraId="20A56731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t>Реестр процессов</w:t>
      </w:r>
      <w:r w:rsidRPr="00D0461C">
        <w:rPr>
          <w:rStyle w:val="fontstyle01"/>
          <w:sz w:val="24"/>
          <w:szCs w:val="24"/>
        </w:rPr>
        <w:t> – совокупность всех взаимосвязанных</w:t>
      </w:r>
      <w:r>
        <w:rPr>
          <w:rStyle w:val="fontstyle01"/>
          <w:sz w:val="24"/>
          <w:szCs w:val="24"/>
        </w:rPr>
        <w:t xml:space="preserve"> </w:t>
      </w:r>
      <w:r w:rsidRPr="00D0461C">
        <w:rPr>
          <w:rStyle w:val="fontstyle01"/>
          <w:sz w:val="24"/>
          <w:szCs w:val="24"/>
        </w:rPr>
        <w:t xml:space="preserve">и (или) взаимодействующих процессов, идентифицированных в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rStyle w:val="fontstyle01"/>
          <w:sz w:val="24"/>
          <w:szCs w:val="24"/>
        </w:rPr>
        <w:t>, представленная в виде справочника.</w:t>
      </w:r>
    </w:p>
    <w:p w14:paraId="0474892A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t xml:space="preserve">Реинжиниринг </w:t>
      </w:r>
      <w:r w:rsidRPr="00D0461C">
        <w:rPr>
          <w:sz w:val="24"/>
          <w:szCs w:val="24"/>
        </w:rPr>
        <w:t xml:space="preserve">- деятельность, направленная на радикальную перестройку текущей практики предоставления государственных услуг и оптимизацию деятельности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sz w:val="24"/>
          <w:szCs w:val="24"/>
        </w:rPr>
        <w:t>, для обеспечения соответствия предоставляемых услуг и сервисов требованиям клиентоцентричного подхода.</w:t>
      </w:r>
    </w:p>
    <w:p w14:paraId="05BEB2E1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t>Ресурс</w:t>
      </w:r>
      <w:r w:rsidRPr="00D0461C">
        <w:rPr>
          <w:rStyle w:val="fontstyle01"/>
          <w:sz w:val="24"/>
          <w:szCs w:val="24"/>
        </w:rPr>
        <w:t> – материальный или информационный объект, необходимый</w:t>
      </w:r>
      <w:r>
        <w:rPr>
          <w:rStyle w:val="fontstyle01"/>
          <w:sz w:val="24"/>
          <w:szCs w:val="24"/>
        </w:rPr>
        <w:t xml:space="preserve"> </w:t>
      </w:r>
      <w:r w:rsidRPr="00D0461C">
        <w:rPr>
          <w:rStyle w:val="fontstyle01"/>
          <w:sz w:val="24"/>
          <w:szCs w:val="24"/>
        </w:rPr>
        <w:t>для выполнения процесса.</w:t>
      </w:r>
    </w:p>
    <w:p w14:paraId="7FE11210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rStyle w:val="fontstyle01"/>
          <w:i/>
          <w:sz w:val="24"/>
          <w:szCs w:val="24"/>
        </w:rPr>
        <w:t>Типовой перечень процессов </w:t>
      </w:r>
      <w:r w:rsidRPr="00D0461C">
        <w:rPr>
          <w:rStyle w:val="fontstyle01"/>
          <w:sz w:val="24"/>
          <w:szCs w:val="24"/>
        </w:rPr>
        <w:t xml:space="preserve">– перечень процессов, содержащий процессы, которые потенциально могут осуществляться в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rStyle w:val="fontstyle01"/>
          <w:sz w:val="24"/>
          <w:szCs w:val="24"/>
        </w:rPr>
        <w:t xml:space="preserve"> и имеют ценность для конечного клиента, который составлен Региональным центром оптимизации, созданным на базе Санкт-Петербургского государственного казенного учреждения «Многофункциональный центр предоставления государственных и муниципальных услуг», с использованием методических рекомендаций АНО «Аналитический центр при Правительстве Российской Федерации» по формированию реестра процессов, утвержденных Протоколом заседания межведомственной рабочей группы по внедрению клиентоцентричности в государственное управление от 06.07.2023 № 66-АХ.</w:t>
      </w:r>
    </w:p>
    <w:p w14:paraId="787EF615" w14:textId="77777777" w:rsidR="0084284F" w:rsidRPr="00D0461C" w:rsidRDefault="0084284F" w:rsidP="0084284F">
      <w:pPr>
        <w:pStyle w:val="ac"/>
        <w:spacing w:line="240" w:lineRule="auto"/>
        <w:ind w:firstLine="567"/>
        <w:rPr>
          <w:iCs/>
          <w:sz w:val="24"/>
          <w:szCs w:val="24"/>
        </w:rPr>
      </w:pPr>
      <w:r w:rsidRPr="00D0461C">
        <w:rPr>
          <w:i/>
          <w:sz w:val="24"/>
          <w:szCs w:val="24"/>
        </w:rPr>
        <w:t>Ценность</w:t>
      </w:r>
      <w:r w:rsidRPr="00D0461C">
        <w:rPr>
          <w:iCs/>
          <w:sz w:val="24"/>
          <w:szCs w:val="24"/>
        </w:rPr>
        <w:t> – это степень, в которой продукт или соответствующая услуга/функция соответствует потребностям, ожиданиям и требованиям конечного клиента, а также приносит пользу и удовлетворение.</w:t>
      </w:r>
    </w:p>
    <w:p w14:paraId="39B370A6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i/>
          <w:iCs/>
          <w:sz w:val="24"/>
          <w:szCs w:val="24"/>
        </w:rPr>
        <w:t>Экземпляр процесса</w:t>
      </w:r>
      <w:r w:rsidRPr="00D0461C">
        <w:rPr>
          <w:sz w:val="24"/>
          <w:szCs w:val="24"/>
        </w:rPr>
        <w:t> – деятельность по выполнению совокупности операций процесса, обеспечивающая получение единичного результата процесса.</w:t>
      </w:r>
    </w:p>
    <w:p w14:paraId="33F5753C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</w:p>
    <w:p w14:paraId="6A9F4BF9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2" w:name="_Toc146527869"/>
      <w:r w:rsidRPr="00D0461C">
        <w:rPr>
          <w:rFonts w:ascii="Times New Roman" w:hAnsi="Times New Roman"/>
          <w:sz w:val="24"/>
          <w:szCs w:val="24"/>
        </w:rPr>
        <w:t>3. Организация работы по формированию реестра процессов</w:t>
      </w:r>
      <w:bookmarkEnd w:id="2"/>
    </w:p>
    <w:p w14:paraId="7C326CBD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sz w:val="24"/>
          <w:szCs w:val="24"/>
        </w:rPr>
        <w:t xml:space="preserve">Формирование реестра процессов осуществляют </w:t>
      </w:r>
      <w:r>
        <w:rPr>
          <w:sz w:val="24"/>
          <w:szCs w:val="24"/>
        </w:rPr>
        <w:t>сотрудники (структурные подразделения)</w:t>
      </w:r>
      <w:r w:rsidRPr="00D0461C"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rStyle w:val="fontstyle01"/>
          <w:sz w:val="24"/>
          <w:szCs w:val="24"/>
        </w:rPr>
        <w:t>.</w:t>
      </w:r>
    </w:p>
    <w:p w14:paraId="35829455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rStyle w:val="fontstyle01"/>
          <w:sz w:val="24"/>
          <w:szCs w:val="24"/>
        </w:rPr>
        <w:t>Реестр процессов заполняется в соответствии с требованиями, предусмотренными методическими указаниями, являющимися Приложением к настоящему Порядку.</w:t>
      </w:r>
    </w:p>
    <w:p w14:paraId="6D815C84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Для формирования реестра процессов используются процессы из типового перечня процессов. Процессы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sz w:val="24"/>
          <w:szCs w:val="24"/>
        </w:rPr>
        <w:t xml:space="preserve">, которые не представлены в типовом перечне, включаются </w:t>
      </w:r>
      <w:r>
        <w:rPr>
          <w:rStyle w:val="fontstyle01"/>
          <w:sz w:val="24"/>
          <w:szCs w:val="24"/>
        </w:rPr>
        <w:t>местной администрацией</w:t>
      </w:r>
      <w:r w:rsidRPr="00D0461C">
        <w:rPr>
          <w:sz w:val="24"/>
          <w:szCs w:val="24"/>
        </w:rPr>
        <w:t xml:space="preserve"> в реестр процессов.</w:t>
      </w:r>
    </w:p>
    <w:p w14:paraId="16C7136A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</w:p>
    <w:p w14:paraId="6E408CDE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3" w:name="_Toc122606276"/>
      <w:bookmarkStart w:id="4" w:name="_Toc146527877"/>
      <w:r w:rsidRPr="00D0461C">
        <w:rPr>
          <w:rFonts w:ascii="Times New Roman" w:hAnsi="Times New Roman"/>
          <w:sz w:val="24"/>
          <w:szCs w:val="24"/>
        </w:rPr>
        <w:lastRenderedPageBreak/>
        <w:t>4. Организация работы по ведению реестра процессов</w:t>
      </w:r>
      <w:bookmarkEnd w:id="3"/>
      <w:bookmarkEnd w:id="4"/>
    </w:p>
    <w:p w14:paraId="3D6905CD" w14:textId="77777777" w:rsidR="0084284F" w:rsidRPr="00D0461C" w:rsidRDefault="0084284F" w:rsidP="0084284F">
      <w:pPr>
        <w:pStyle w:val="1"/>
        <w:spacing w:before="0" w:after="0"/>
        <w:ind w:firstLine="567"/>
        <w:jc w:val="both"/>
        <w:rPr>
          <w:rStyle w:val="fontstyle01"/>
          <w:rFonts w:ascii="Times New Roman" w:hAnsi="Times New Roman"/>
          <w:b w:val="0"/>
          <w:sz w:val="24"/>
          <w:szCs w:val="24"/>
        </w:rPr>
      </w:pPr>
      <w:r w:rsidRPr="00D0461C">
        <w:rPr>
          <w:rFonts w:ascii="Times New Roman" w:hAnsi="Times New Roman"/>
          <w:b w:val="0"/>
          <w:sz w:val="24"/>
          <w:szCs w:val="24"/>
        </w:rPr>
        <w:t xml:space="preserve">Ответственным за ведение реестра процессов </w:t>
      </w:r>
      <w:r w:rsidRPr="00D0461C">
        <w:rPr>
          <w:rStyle w:val="fontstyle01"/>
          <w:rFonts w:ascii="Times New Roman" w:hAnsi="Times New Roman"/>
          <w:b w:val="0"/>
          <w:sz w:val="24"/>
          <w:szCs w:val="24"/>
        </w:rPr>
        <w:t>местной администрации явля</w:t>
      </w:r>
      <w:r>
        <w:rPr>
          <w:rStyle w:val="fontstyle01"/>
          <w:rFonts w:ascii="Times New Roman" w:hAnsi="Times New Roman"/>
          <w:b w:val="0"/>
          <w:sz w:val="24"/>
          <w:szCs w:val="24"/>
        </w:rPr>
        <w:t>е</w:t>
      </w:r>
      <w:r w:rsidRPr="00D0461C">
        <w:rPr>
          <w:rStyle w:val="fontstyle01"/>
          <w:rFonts w:ascii="Times New Roman" w:hAnsi="Times New Roman"/>
          <w:b w:val="0"/>
          <w:sz w:val="24"/>
          <w:szCs w:val="24"/>
        </w:rPr>
        <w:t xml:space="preserve">тся </w:t>
      </w:r>
      <w:r w:rsidRPr="00D0461C">
        <w:rPr>
          <w:rFonts w:ascii="Times New Roman" w:hAnsi="Times New Roman"/>
          <w:b w:val="0"/>
          <w:color w:val="000000"/>
          <w:sz w:val="24"/>
          <w:szCs w:val="24"/>
        </w:rPr>
        <w:t>ответственное лицо за внедрение клиентоцентричности в муниципальном образовании</w:t>
      </w:r>
      <w:r w:rsidRPr="00D0461C">
        <w:rPr>
          <w:rStyle w:val="fontstyle01"/>
          <w:rFonts w:ascii="Times New Roman" w:hAnsi="Times New Roman"/>
          <w:b w:val="0"/>
          <w:sz w:val="24"/>
          <w:szCs w:val="24"/>
        </w:rPr>
        <w:t xml:space="preserve">. </w:t>
      </w:r>
    </w:p>
    <w:p w14:paraId="01106BB5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color w:val="000000"/>
          <w:sz w:val="24"/>
          <w:szCs w:val="24"/>
        </w:rPr>
        <w:t>Ответственное лицо за внедрение клиентоцентричности в муниципальном образовании</w:t>
      </w:r>
      <w:r w:rsidRPr="00D0461C">
        <w:rPr>
          <w:rStyle w:val="fontstyle01"/>
          <w:sz w:val="24"/>
          <w:szCs w:val="24"/>
        </w:rPr>
        <w:t xml:space="preserve"> обязан</w:t>
      </w:r>
      <w:r>
        <w:rPr>
          <w:rStyle w:val="fontstyle01"/>
          <w:sz w:val="24"/>
          <w:szCs w:val="24"/>
        </w:rPr>
        <w:t>о</w:t>
      </w:r>
      <w:r w:rsidRPr="00D0461C">
        <w:rPr>
          <w:rStyle w:val="fontstyle01"/>
          <w:sz w:val="24"/>
          <w:szCs w:val="24"/>
        </w:rPr>
        <w:t xml:space="preserve"> поддерживать реестр процессов местной администрации в актуальном состоянии.</w:t>
      </w:r>
    </w:p>
    <w:p w14:paraId="6E00B73F" w14:textId="77777777" w:rsidR="0084284F" w:rsidRPr="00D0461C" w:rsidRDefault="0084284F" w:rsidP="0084284F">
      <w:pPr>
        <w:pStyle w:val="ac"/>
        <w:spacing w:line="240" w:lineRule="auto"/>
        <w:rPr>
          <w:rStyle w:val="fontstyle01"/>
          <w:sz w:val="24"/>
          <w:szCs w:val="24"/>
        </w:rPr>
      </w:pPr>
    </w:p>
    <w:p w14:paraId="2C82EA71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b w:val="0"/>
          <w:sz w:val="24"/>
          <w:szCs w:val="24"/>
        </w:rPr>
      </w:pPr>
      <w:bookmarkStart w:id="5" w:name="_Toc146527881"/>
      <w:r w:rsidRPr="00D0461C">
        <w:rPr>
          <w:rFonts w:ascii="Times New Roman" w:hAnsi="Times New Roman"/>
          <w:sz w:val="24"/>
          <w:szCs w:val="24"/>
        </w:rPr>
        <w:t>5. Периодичность актуализации реестра процессов</w:t>
      </w:r>
      <w:bookmarkEnd w:id="5"/>
    </w:p>
    <w:p w14:paraId="3568CE7D" w14:textId="77777777" w:rsidR="0084284F" w:rsidRPr="00D0461C" w:rsidRDefault="0084284F" w:rsidP="0084284F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bookmarkStart w:id="6" w:name="_Toc146527882"/>
      <w:r w:rsidRPr="00D0461C">
        <w:rPr>
          <w:rFonts w:ascii="Times New Roman" w:hAnsi="Times New Roman"/>
          <w:b w:val="0"/>
          <w:sz w:val="24"/>
          <w:szCs w:val="24"/>
        </w:rPr>
        <w:t>Иницииров</w:t>
      </w:r>
      <w:r>
        <w:rPr>
          <w:rFonts w:ascii="Times New Roman" w:hAnsi="Times New Roman"/>
          <w:b w:val="0"/>
          <w:sz w:val="24"/>
          <w:szCs w:val="24"/>
        </w:rPr>
        <w:t>ание</w:t>
      </w:r>
      <w:r w:rsidRPr="00D0461C">
        <w:rPr>
          <w:rFonts w:ascii="Times New Roman" w:hAnsi="Times New Roman"/>
          <w:b w:val="0"/>
          <w:sz w:val="24"/>
          <w:szCs w:val="24"/>
        </w:rPr>
        <w:t xml:space="preserve"> изменени</w:t>
      </w:r>
      <w:r>
        <w:rPr>
          <w:rFonts w:ascii="Times New Roman" w:hAnsi="Times New Roman"/>
          <w:b w:val="0"/>
          <w:sz w:val="24"/>
          <w:szCs w:val="24"/>
        </w:rPr>
        <w:t>й</w:t>
      </w:r>
      <w:r w:rsidRPr="00D0461C">
        <w:rPr>
          <w:rFonts w:ascii="Times New Roman" w:hAnsi="Times New Roman"/>
          <w:b w:val="0"/>
          <w:sz w:val="24"/>
          <w:szCs w:val="24"/>
        </w:rPr>
        <w:t xml:space="preserve"> в реестре процессов </w:t>
      </w:r>
      <w:r>
        <w:rPr>
          <w:rFonts w:ascii="Times New Roman" w:hAnsi="Times New Roman"/>
          <w:b w:val="0"/>
          <w:sz w:val="24"/>
          <w:szCs w:val="24"/>
        </w:rPr>
        <w:t>осуществляют</w:t>
      </w:r>
      <w:r w:rsidRPr="00D0461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сотрудники местной администрации</w:t>
      </w:r>
      <w:r w:rsidRPr="00D0461C">
        <w:rPr>
          <w:rFonts w:ascii="Times New Roman" w:hAnsi="Times New Roman"/>
          <w:b w:val="0"/>
          <w:sz w:val="24"/>
          <w:szCs w:val="24"/>
        </w:rPr>
        <w:t xml:space="preserve"> и владельцы процессов. Владельцы процессов направляют запросы </w:t>
      </w:r>
      <w:r w:rsidRPr="00D0461C">
        <w:rPr>
          <w:rFonts w:ascii="Times New Roman" w:hAnsi="Times New Roman"/>
          <w:b w:val="0"/>
          <w:sz w:val="24"/>
          <w:szCs w:val="24"/>
        </w:rPr>
        <w:br/>
        <w:t xml:space="preserve">на изменение реестра процессов </w:t>
      </w:r>
      <w:r w:rsidRPr="00D0461C">
        <w:rPr>
          <w:rFonts w:ascii="Times New Roman" w:hAnsi="Times New Roman"/>
          <w:b w:val="0"/>
          <w:color w:val="000000"/>
          <w:sz w:val="24"/>
          <w:szCs w:val="24"/>
        </w:rPr>
        <w:t>ответственно</w:t>
      </w:r>
      <w:r>
        <w:rPr>
          <w:rFonts w:ascii="Times New Roman" w:hAnsi="Times New Roman"/>
          <w:b w:val="0"/>
          <w:color w:val="000000"/>
          <w:sz w:val="24"/>
          <w:szCs w:val="24"/>
        </w:rPr>
        <w:t>му</w:t>
      </w:r>
      <w:r w:rsidRPr="00D0461C">
        <w:rPr>
          <w:rFonts w:ascii="Times New Roman" w:hAnsi="Times New Roman"/>
          <w:b w:val="0"/>
          <w:color w:val="000000"/>
          <w:sz w:val="24"/>
          <w:szCs w:val="24"/>
        </w:rPr>
        <w:t xml:space="preserve"> лиц</w:t>
      </w:r>
      <w:r>
        <w:rPr>
          <w:rFonts w:ascii="Times New Roman" w:hAnsi="Times New Roman"/>
          <w:b w:val="0"/>
          <w:color w:val="000000"/>
          <w:sz w:val="24"/>
          <w:szCs w:val="24"/>
        </w:rPr>
        <w:t>у</w:t>
      </w:r>
      <w:r w:rsidRPr="00D0461C">
        <w:rPr>
          <w:rFonts w:ascii="Times New Roman" w:hAnsi="Times New Roman"/>
          <w:b w:val="0"/>
          <w:color w:val="000000"/>
          <w:sz w:val="24"/>
          <w:szCs w:val="24"/>
        </w:rPr>
        <w:t xml:space="preserve"> за внедрение клиентоцентричности в муниципальном образовании</w:t>
      </w:r>
      <w:r w:rsidRPr="00D0461C">
        <w:rPr>
          <w:rFonts w:ascii="Times New Roman" w:hAnsi="Times New Roman"/>
          <w:b w:val="0"/>
          <w:sz w:val="24"/>
          <w:szCs w:val="24"/>
        </w:rPr>
        <w:t xml:space="preserve"> напрямую.</w:t>
      </w:r>
    </w:p>
    <w:p w14:paraId="10C6584C" w14:textId="77777777" w:rsidR="0084284F" w:rsidRPr="00D0461C" w:rsidRDefault="0084284F" w:rsidP="0084284F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D0461C">
        <w:rPr>
          <w:rFonts w:ascii="Times New Roman" w:hAnsi="Times New Roman"/>
          <w:b w:val="0"/>
          <w:sz w:val="24"/>
          <w:szCs w:val="24"/>
        </w:rPr>
        <w:t xml:space="preserve">Не позднее 20 рабочих дней с момента возникновения оснований для внесения изменений в сведения, содержащиеся в реестре процессов, включения новых сведений </w:t>
      </w:r>
      <w:r w:rsidRPr="00D0461C">
        <w:rPr>
          <w:rFonts w:ascii="Times New Roman" w:hAnsi="Times New Roman"/>
          <w:b w:val="0"/>
          <w:sz w:val="24"/>
          <w:szCs w:val="24"/>
        </w:rPr>
        <w:br/>
        <w:t xml:space="preserve">в реестр процессов либо исключения сведений из реестра процессов </w:t>
      </w:r>
      <w:r w:rsidRPr="00D0461C">
        <w:rPr>
          <w:rFonts w:ascii="Times New Roman" w:hAnsi="Times New Roman"/>
          <w:b w:val="0"/>
          <w:color w:val="000000"/>
          <w:sz w:val="24"/>
          <w:szCs w:val="24"/>
        </w:rPr>
        <w:t>ответственное лицо за внедрение клиентоцентричности в муниципальном образовании</w:t>
      </w:r>
      <w:r w:rsidRPr="00D0461C">
        <w:rPr>
          <w:rFonts w:ascii="Times New Roman" w:hAnsi="Times New Roman"/>
          <w:b w:val="0"/>
          <w:sz w:val="24"/>
          <w:szCs w:val="24"/>
        </w:rPr>
        <w:t xml:space="preserve"> осуществля</w:t>
      </w:r>
      <w:r>
        <w:rPr>
          <w:rFonts w:ascii="Times New Roman" w:hAnsi="Times New Roman"/>
          <w:b w:val="0"/>
          <w:sz w:val="24"/>
          <w:szCs w:val="24"/>
        </w:rPr>
        <w:t>е</w:t>
      </w:r>
      <w:r w:rsidRPr="00D0461C">
        <w:rPr>
          <w:rFonts w:ascii="Times New Roman" w:hAnsi="Times New Roman"/>
          <w:b w:val="0"/>
          <w:sz w:val="24"/>
          <w:szCs w:val="24"/>
        </w:rPr>
        <w:t>т внесение изменений в реестр процессов.</w:t>
      </w:r>
    </w:p>
    <w:p w14:paraId="243608A5" w14:textId="77777777" w:rsidR="0084284F" w:rsidRPr="00D0461C" w:rsidRDefault="0084284F" w:rsidP="0084284F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D0461C">
        <w:rPr>
          <w:rFonts w:ascii="Times New Roman" w:hAnsi="Times New Roman"/>
          <w:b w:val="0"/>
          <w:sz w:val="24"/>
          <w:szCs w:val="24"/>
        </w:rPr>
        <w:t xml:space="preserve">Актуализация реестра процессов проводится не реже, чем каждые 6 месяцев </w:t>
      </w:r>
      <w:r w:rsidRPr="00D0461C">
        <w:rPr>
          <w:rFonts w:ascii="Times New Roman" w:hAnsi="Times New Roman"/>
          <w:b w:val="0"/>
          <w:sz w:val="24"/>
          <w:szCs w:val="24"/>
        </w:rPr>
        <w:br/>
        <w:t>(при наличии изменений в перечне процессов) по следующему алгоритму:</w:t>
      </w:r>
      <w:bookmarkEnd w:id="6"/>
    </w:p>
    <w:p w14:paraId="47F65BC9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sz w:val="24"/>
          <w:szCs w:val="24"/>
        </w:rPr>
        <w:t xml:space="preserve">– получение сведений от </w:t>
      </w:r>
      <w:r>
        <w:rPr>
          <w:sz w:val="24"/>
          <w:szCs w:val="24"/>
        </w:rPr>
        <w:t>сотрудников местной администрации</w:t>
      </w:r>
      <w:r w:rsidRPr="00D0461C">
        <w:rPr>
          <w:sz w:val="24"/>
          <w:szCs w:val="24"/>
        </w:rPr>
        <w:br/>
      </w:r>
      <w:r w:rsidRPr="00D0461C">
        <w:rPr>
          <w:rStyle w:val="fontstyle01"/>
          <w:sz w:val="24"/>
          <w:szCs w:val="24"/>
        </w:rPr>
        <w:t>по установленной форме реестра процессов;</w:t>
      </w:r>
    </w:p>
    <w:p w14:paraId="512C108D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sz w:val="24"/>
          <w:szCs w:val="24"/>
        </w:rPr>
        <w:t xml:space="preserve">– </w:t>
      </w:r>
      <w:r w:rsidRPr="00D0461C">
        <w:rPr>
          <w:rStyle w:val="fontstyle01"/>
          <w:sz w:val="24"/>
          <w:szCs w:val="24"/>
        </w:rPr>
        <w:t xml:space="preserve">рассмотрение и согласование </w:t>
      </w:r>
      <w:r>
        <w:rPr>
          <w:rStyle w:val="fontstyle01"/>
          <w:sz w:val="24"/>
          <w:szCs w:val="24"/>
        </w:rPr>
        <w:t>главой местной администрации</w:t>
      </w:r>
      <w:r w:rsidRPr="00D0461C">
        <w:rPr>
          <w:rStyle w:val="fontstyle01"/>
          <w:sz w:val="24"/>
          <w:szCs w:val="24"/>
        </w:rPr>
        <w:t>;</w:t>
      </w:r>
    </w:p>
    <w:p w14:paraId="2283C598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– </w:t>
      </w:r>
      <w:r w:rsidRPr="00D0461C">
        <w:rPr>
          <w:rStyle w:val="fontstyle01"/>
          <w:sz w:val="24"/>
          <w:szCs w:val="24"/>
        </w:rPr>
        <w:t xml:space="preserve">внесение информации в реестр процессов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rStyle w:val="fontstyle01"/>
          <w:sz w:val="24"/>
          <w:szCs w:val="24"/>
        </w:rPr>
        <w:t xml:space="preserve"> в соответствии </w:t>
      </w:r>
      <w:r w:rsidRPr="00D0461C">
        <w:rPr>
          <w:rStyle w:val="fontstyle01"/>
          <w:sz w:val="24"/>
          <w:szCs w:val="24"/>
        </w:rPr>
        <w:br/>
        <w:t>с методическими указаниями, являющимися Приложением к настоящему Порядку;</w:t>
      </w:r>
    </w:p>
    <w:p w14:paraId="34401FED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sz w:val="24"/>
          <w:szCs w:val="24"/>
        </w:rPr>
        <w:t xml:space="preserve">– </w:t>
      </w:r>
      <w:r w:rsidRPr="00D0461C">
        <w:rPr>
          <w:rStyle w:val="fontstyle01"/>
          <w:sz w:val="24"/>
          <w:szCs w:val="24"/>
        </w:rPr>
        <w:t xml:space="preserve">утверждение актуализированного реестра процессов </w:t>
      </w:r>
      <w:r>
        <w:rPr>
          <w:rStyle w:val="fontstyle01"/>
          <w:sz w:val="24"/>
          <w:szCs w:val="24"/>
        </w:rPr>
        <w:t>местной администрации</w:t>
      </w:r>
      <w:r w:rsidRPr="00D0461C">
        <w:rPr>
          <w:rStyle w:val="fontstyle01"/>
          <w:sz w:val="24"/>
          <w:szCs w:val="24"/>
        </w:rPr>
        <w:t>;</w:t>
      </w:r>
    </w:p>
    <w:p w14:paraId="1B159A6C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sz w:val="24"/>
          <w:szCs w:val="24"/>
        </w:rPr>
        <w:t xml:space="preserve">– </w:t>
      </w:r>
      <w:r w:rsidRPr="00D0461C">
        <w:rPr>
          <w:rStyle w:val="fontstyle01"/>
          <w:sz w:val="24"/>
          <w:szCs w:val="24"/>
        </w:rPr>
        <w:t xml:space="preserve">размещение для общего доступа обновленного реестра процессов </w:t>
      </w:r>
      <w:r w:rsidRPr="00D0461C">
        <w:rPr>
          <w:rStyle w:val="fontstyle01"/>
          <w:sz w:val="24"/>
          <w:szCs w:val="24"/>
        </w:rPr>
        <w:br/>
        <w:t xml:space="preserve">и информирование </w:t>
      </w:r>
      <w:r>
        <w:rPr>
          <w:rStyle w:val="fontstyle01"/>
          <w:sz w:val="24"/>
          <w:szCs w:val="24"/>
        </w:rPr>
        <w:t>сотрудников местной администрации</w:t>
      </w:r>
      <w:r w:rsidRPr="00D0461C">
        <w:rPr>
          <w:rStyle w:val="fontstyle01"/>
          <w:sz w:val="24"/>
          <w:szCs w:val="24"/>
        </w:rPr>
        <w:t xml:space="preserve"> о завершении актуализации;</w:t>
      </w:r>
    </w:p>
    <w:p w14:paraId="26D1D41D" w14:textId="77777777" w:rsidR="0084284F" w:rsidRPr="00D0461C" w:rsidRDefault="0084284F" w:rsidP="0084284F">
      <w:pPr>
        <w:pStyle w:val="ac"/>
        <w:spacing w:line="240" w:lineRule="auto"/>
        <w:ind w:firstLine="567"/>
        <w:rPr>
          <w:rStyle w:val="fontstyle01"/>
          <w:sz w:val="24"/>
          <w:szCs w:val="24"/>
        </w:rPr>
      </w:pPr>
      <w:r w:rsidRPr="00D0461C">
        <w:rPr>
          <w:sz w:val="24"/>
          <w:szCs w:val="24"/>
        </w:rPr>
        <w:t xml:space="preserve">– </w:t>
      </w:r>
      <w:r w:rsidRPr="00D0461C">
        <w:rPr>
          <w:rStyle w:val="fontstyle01"/>
          <w:sz w:val="24"/>
          <w:szCs w:val="24"/>
        </w:rPr>
        <w:t>архивация предыдущей версии реестра процессов, ведение истории изменений.</w:t>
      </w:r>
    </w:p>
    <w:p w14:paraId="5AC31CD3" w14:textId="77777777" w:rsidR="0084284F" w:rsidRPr="00D0461C" w:rsidRDefault="0084284F" w:rsidP="0084284F">
      <w:pPr>
        <w:rPr>
          <w:rStyle w:val="fontstyle01"/>
        </w:rPr>
      </w:pPr>
      <w:r w:rsidRPr="00D0461C">
        <w:rPr>
          <w:rStyle w:val="fontstyle01"/>
        </w:rPr>
        <w:br w:type="page" w:clear="all"/>
      </w:r>
    </w:p>
    <w:p w14:paraId="3A7C4FF5" w14:textId="30CA2E83" w:rsidR="0084284F" w:rsidRDefault="0084284F" w:rsidP="0084284F">
      <w:pPr>
        <w:pStyle w:val="af"/>
        <w:spacing w:before="67"/>
        <w:ind w:left="4253" w:firstLine="0"/>
        <w:jc w:val="right"/>
        <w:rPr>
          <w:color w:val="000000"/>
          <w:sz w:val="20"/>
          <w:szCs w:val="20"/>
        </w:rPr>
      </w:pPr>
      <w:r w:rsidRPr="0084284F">
        <w:rPr>
          <w:sz w:val="20"/>
          <w:szCs w:val="20"/>
        </w:rPr>
        <w:lastRenderedPageBreak/>
        <w:t xml:space="preserve">Приложение  </w:t>
      </w:r>
      <w:r w:rsidRPr="0084284F">
        <w:rPr>
          <w:sz w:val="20"/>
          <w:szCs w:val="20"/>
        </w:rPr>
        <w:br/>
        <w:t xml:space="preserve">к Порядку ведения реестра процессов </w:t>
      </w:r>
      <w:r w:rsidRPr="0084284F">
        <w:rPr>
          <w:rStyle w:val="fontstyle01"/>
          <w:sz w:val="20"/>
          <w:szCs w:val="20"/>
        </w:rPr>
        <w:t>в рамках внедрения стандартов клиентоцентричности</w:t>
      </w:r>
      <w:r w:rsidRPr="0084284F">
        <w:rPr>
          <w:color w:val="000000"/>
          <w:sz w:val="20"/>
          <w:szCs w:val="20"/>
        </w:rPr>
        <w:t xml:space="preserve"> в</w:t>
      </w:r>
      <w:r>
        <w:rPr>
          <w:color w:val="000000"/>
          <w:sz w:val="20"/>
          <w:szCs w:val="20"/>
        </w:rPr>
        <w:t xml:space="preserve"> </w:t>
      </w:r>
      <w:r w:rsidR="00F26CE7">
        <w:rPr>
          <w:color w:val="000000"/>
          <w:sz w:val="20"/>
          <w:szCs w:val="20"/>
        </w:rPr>
        <w:t xml:space="preserve">Местной администрации </w:t>
      </w:r>
      <w:r>
        <w:rPr>
          <w:color w:val="000000"/>
          <w:sz w:val="20"/>
          <w:szCs w:val="20"/>
        </w:rPr>
        <w:t>МО Невская застава</w:t>
      </w:r>
    </w:p>
    <w:p w14:paraId="46141188" w14:textId="77777777" w:rsidR="0084284F" w:rsidRPr="00D0461C" w:rsidRDefault="0084284F" w:rsidP="0084284F">
      <w:pPr>
        <w:pStyle w:val="ac"/>
        <w:spacing w:line="240" w:lineRule="auto"/>
        <w:rPr>
          <w:rStyle w:val="fontstyle01"/>
          <w:sz w:val="24"/>
          <w:szCs w:val="24"/>
        </w:rPr>
      </w:pPr>
    </w:p>
    <w:p w14:paraId="0AF17656" w14:textId="77777777" w:rsidR="0084284F" w:rsidRPr="00D0461C" w:rsidRDefault="0084284F" w:rsidP="0084284F">
      <w:pPr>
        <w:pStyle w:val="1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7" w:name="_Toc122606277"/>
      <w:bookmarkStart w:id="8" w:name="_Toc146527883"/>
      <w:r w:rsidRPr="00D0461C">
        <w:rPr>
          <w:rFonts w:ascii="Times New Roman" w:hAnsi="Times New Roman"/>
          <w:sz w:val="24"/>
          <w:szCs w:val="24"/>
        </w:rPr>
        <w:t>Методические указания по заполнению реестра процессов</w:t>
      </w:r>
    </w:p>
    <w:p w14:paraId="6C55723E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</w:p>
    <w:p w14:paraId="250CACC9" w14:textId="77777777" w:rsidR="0084284F" w:rsidRPr="00D0461C" w:rsidRDefault="0084284F" w:rsidP="0084284F">
      <w:pPr>
        <w:pStyle w:val="1"/>
        <w:keepNext w:val="0"/>
        <w:numPr>
          <w:ilvl w:val="0"/>
          <w:numId w:val="29"/>
        </w:numPr>
        <w:spacing w:before="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0461C">
        <w:rPr>
          <w:rFonts w:ascii="Times New Roman" w:hAnsi="Times New Roman"/>
          <w:sz w:val="24"/>
          <w:szCs w:val="24"/>
        </w:rPr>
        <w:t xml:space="preserve">Общие требования к заполнению </w:t>
      </w:r>
      <w:bookmarkEnd w:id="7"/>
      <w:r w:rsidRPr="00D0461C">
        <w:rPr>
          <w:rFonts w:ascii="Times New Roman" w:hAnsi="Times New Roman"/>
          <w:sz w:val="24"/>
          <w:szCs w:val="24"/>
        </w:rPr>
        <w:t>реестра процессов</w:t>
      </w:r>
      <w:bookmarkEnd w:id="8"/>
    </w:p>
    <w:p w14:paraId="724D6306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В настоящих Методических указаниях представлены требования </w:t>
      </w:r>
      <w:r w:rsidRPr="00D0461C">
        <w:rPr>
          <w:sz w:val="24"/>
          <w:szCs w:val="24"/>
        </w:rPr>
        <w:br/>
        <w:t xml:space="preserve">по заполнению реестра процессов. При заполнении реестра процессов структура (список граф, последовательность) </w:t>
      </w:r>
      <w:r w:rsidRPr="00B56753">
        <w:rPr>
          <w:sz w:val="24"/>
          <w:szCs w:val="24"/>
        </w:rPr>
        <w:t>не редактируется</w:t>
      </w:r>
      <w:r w:rsidRPr="00D0461C">
        <w:rPr>
          <w:sz w:val="24"/>
          <w:szCs w:val="24"/>
        </w:rPr>
        <w:t xml:space="preserve">. </w:t>
      </w:r>
    </w:p>
    <w:p w14:paraId="1DDCCC60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При необходимости указать несколько значений в одном графе в качестве разделителя используется знак «;», после которого без пробела вносится следующее значение. Подобный формат необходим для удобства дальнейшей машинной обработки.</w:t>
      </w:r>
    </w:p>
    <w:p w14:paraId="3A9947A2" w14:textId="77777777" w:rsidR="0084284F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При необходимости использования сокращений необходимо приложить перечень используемых сокращений на отдельном листе </w:t>
      </w:r>
      <w:r w:rsidRPr="00D0461C">
        <w:rPr>
          <w:sz w:val="24"/>
          <w:szCs w:val="24"/>
          <w:lang w:val="en-US"/>
        </w:rPr>
        <w:t>Excel</w:t>
      </w:r>
      <w:r w:rsidRPr="00D0461C">
        <w:rPr>
          <w:sz w:val="24"/>
          <w:szCs w:val="24"/>
        </w:rPr>
        <w:t>.</w:t>
      </w:r>
    </w:p>
    <w:p w14:paraId="255DD3A4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</w:p>
    <w:p w14:paraId="1B8D007D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9" w:name="_Toc121754209"/>
      <w:bookmarkStart w:id="10" w:name="_Toc122606278"/>
      <w:bookmarkStart w:id="11" w:name="_Toc146527884"/>
      <w:r w:rsidRPr="00D0461C">
        <w:rPr>
          <w:rFonts w:ascii="Times New Roman" w:hAnsi="Times New Roman"/>
          <w:sz w:val="24"/>
          <w:szCs w:val="24"/>
        </w:rPr>
        <w:t xml:space="preserve">2. Структура </w:t>
      </w:r>
      <w:bookmarkEnd w:id="9"/>
      <w:bookmarkEnd w:id="10"/>
      <w:r w:rsidRPr="00D0461C">
        <w:rPr>
          <w:rFonts w:ascii="Times New Roman" w:hAnsi="Times New Roman"/>
          <w:sz w:val="24"/>
          <w:szCs w:val="24"/>
        </w:rPr>
        <w:t>реестра процессов</w:t>
      </w:r>
      <w:bookmarkStart w:id="12" w:name="_Toc121754210"/>
      <w:bookmarkStart w:id="13" w:name="_Toc122606279"/>
      <w:bookmarkEnd w:id="11"/>
      <w:r w:rsidRPr="00D0461C">
        <w:rPr>
          <w:rStyle w:val="af1"/>
          <w:rFonts w:ascii="Times New Roman" w:hAnsi="Times New Roman"/>
          <w:sz w:val="24"/>
          <w:szCs w:val="24"/>
        </w:rPr>
        <w:footnoteReference w:id="1"/>
      </w:r>
    </w:p>
    <w:p w14:paraId="0B5880F2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14" w:name="_Toc146527885"/>
      <w:r w:rsidRPr="00D0461C">
        <w:rPr>
          <w:rFonts w:ascii="Times New Roman" w:hAnsi="Times New Roman"/>
          <w:sz w:val="24"/>
          <w:szCs w:val="24"/>
        </w:rPr>
        <w:t>2.1. Графа 1 «Идентификатор процесса*»</w:t>
      </w:r>
      <w:bookmarkEnd w:id="12"/>
      <w:bookmarkEnd w:id="13"/>
      <w:bookmarkEnd w:id="14"/>
    </w:p>
    <w:p w14:paraId="5D578CF8" w14:textId="77777777" w:rsidR="0084284F" w:rsidRPr="00D0461C" w:rsidRDefault="0084284F" w:rsidP="0084284F">
      <w:pPr>
        <w:pStyle w:val="ac"/>
        <w:spacing w:line="240" w:lineRule="auto"/>
        <w:rPr>
          <w:sz w:val="24"/>
          <w:szCs w:val="24"/>
        </w:rPr>
      </w:pPr>
      <w:r w:rsidRPr="00D0461C">
        <w:rPr>
          <w:sz w:val="24"/>
          <w:szCs w:val="24"/>
        </w:rPr>
        <w:t>В графе «Идентификатор процесса» необходимо указать уникальный идентификатор процесса. Рекомендуется использовать цифровые обозначения по порядку их внесения в реестр процессов.</w:t>
      </w:r>
    </w:p>
    <w:p w14:paraId="02C7E3C2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15" w:name="_Toc146527886"/>
      <w:bookmarkStart w:id="16" w:name="_Toc121754211"/>
      <w:bookmarkStart w:id="17" w:name="_Toc122606280"/>
      <w:r w:rsidRPr="00D0461C">
        <w:rPr>
          <w:rFonts w:ascii="Times New Roman" w:hAnsi="Times New Roman"/>
          <w:sz w:val="24"/>
          <w:szCs w:val="24"/>
        </w:rPr>
        <w:t>2.2. Графа 2 «Жизненная ситуация»</w:t>
      </w:r>
      <w:bookmarkEnd w:id="15"/>
    </w:p>
    <w:p w14:paraId="49793EE6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В графе «Жизненная ситуация» необходимо указать одну или несколько жизненных ситуаций, в которые входит функция, услуга или сервис.</w:t>
      </w:r>
      <w:r>
        <w:rPr>
          <w:sz w:val="24"/>
          <w:szCs w:val="24"/>
        </w:rPr>
        <w:t xml:space="preserve"> </w:t>
      </w:r>
      <w:r w:rsidRPr="00D0461C">
        <w:rPr>
          <w:sz w:val="24"/>
          <w:szCs w:val="24"/>
        </w:rPr>
        <w:t xml:space="preserve">Эта информация может быть </w:t>
      </w:r>
      <w:r w:rsidRPr="00D0461C">
        <w:rPr>
          <w:sz w:val="24"/>
          <w:szCs w:val="24"/>
        </w:rPr>
        <w:br/>
        <w:t>в дальнейшем использована для удобства работы</w:t>
      </w:r>
      <w:r>
        <w:rPr>
          <w:sz w:val="24"/>
          <w:szCs w:val="24"/>
        </w:rPr>
        <w:t xml:space="preserve"> </w:t>
      </w:r>
      <w:r w:rsidRPr="00D0461C">
        <w:rPr>
          <w:sz w:val="24"/>
          <w:szCs w:val="24"/>
        </w:rPr>
        <w:t>по жизненным ситуациям. Если функция, услуга или сервис не включена в перечень услуг (функций/сервисов) действующей жизненной ситуации, разработанной на федеральном или региональном уровне, то поле может быть оставлено пустым.</w:t>
      </w:r>
    </w:p>
    <w:p w14:paraId="4B6EEAF4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18" w:name="_Toc146527888"/>
      <w:bookmarkStart w:id="19" w:name="_Toc146527887"/>
      <w:r w:rsidRPr="00D0461C">
        <w:rPr>
          <w:rFonts w:ascii="Times New Roman" w:hAnsi="Times New Roman"/>
          <w:sz w:val="24"/>
          <w:szCs w:val="24"/>
        </w:rPr>
        <w:t>2.3. Графа 3 «Название услуги, функции, сервиса»</w:t>
      </w:r>
      <w:bookmarkEnd w:id="18"/>
    </w:p>
    <w:p w14:paraId="7938649C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rStyle w:val="ad"/>
          <w:sz w:val="24"/>
          <w:szCs w:val="24"/>
        </w:rPr>
        <w:t xml:space="preserve">В </w:t>
      </w:r>
      <w:r w:rsidRPr="00D0461C">
        <w:rPr>
          <w:sz w:val="24"/>
          <w:szCs w:val="24"/>
        </w:rPr>
        <w:t>графе «Название услуги, функции, сервиса» необходимо указать название соответствующей услуги, функции или сервиса</w:t>
      </w:r>
      <w:r>
        <w:rPr>
          <w:sz w:val="24"/>
          <w:szCs w:val="24"/>
        </w:rPr>
        <w:t>,</w:t>
      </w:r>
      <w:r w:rsidRPr="00D0461C">
        <w:rPr>
          <w:sz w:val="24"/>
          <w:szCs w:val="24"/>
        </w:rPr>
        <w:t xml:space="preserve"> в случае если процесс касается предоставления (исполнения) услуги (функции/сервиса).</w:t>
      </w:r>
    </w:p>
    <w:p w14:paraId="0378A9F0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r w:rsidRPr="00D0461C">
        <w:rPr>
          <w:rFonts w:ascii="Times New Roman" w:hAnsi="Times New Roman"/>
          <w:sz w:val="24"/>
          <w:szCs w:val="24"/>
        </w:rPr>
        <w:t>2.4. Графа 4 «Регулирующий акт»</w:t>
      </w:r>
      <w:bookmarkEnd w:id="16"/>
      <w:bookmarkEnd w:id="17"/>
      <w:bookmarkEnd w:id="19"/>
    </w:p>
    <w:p w14:paraId="471C1A01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В столбце «Регулирующий акт» предлагается указать нормативный акт, которым регулируется осуществление функции, предоставление услуги или сервиса. </w:t>
      </w:r>
    </w:p>
    <w:p w14:paraId="1C1E6C96" w14:textId="77777777" w:rsidR="0084284F" w:rsidRPr="00D0461C" w:rsidRDefault="0084284F" w:rsidP="0084284F">
      <w:pPr>
        <w:pStyle w:val="ac"/>
        <w:spacing w:line="240" w:lineRule="auto"/>
        <w:ind w:firstLine="567"/>
        <w:rPr>
          <w:b/>
          <w:sz w:val="24"/>
          <w:szCs w:val="24"/>
        </w:rPr>
      </w:pPr>
      <w:bookmarkStart w:id="20" w:name="_Toc122606281"/>
      <w:bookmarkStart w:id="21" w:name="_Toc121754212"/>
      <w:r w:rsidRPr="00D0461C">
        <w:rPr>
          <w:b/>
          <w:sz w:val="24"/>
          <w:szCs w:val="24"/>
        </w:rPr>
        <w:t xml:space="preserve">2.5. Графа 5 «Группа процессов» </w:t>
      </w:r>
    </w:p>
    <w:p w14:paraId="56387043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В графе «Группа процессов» указывается группа, в которую входит процесс согласно группировке из типового перечня процессов. </w:t>
      </w:r>
      <w:bookmarkEnd w:id="20"/>
    </w:p>
    <w:p w14:paraId="4E3795E7" w14:textId="77777777" w:rsidR="0084284F" w:rsidRPr="00D0461C" w:rsidRDefault="0084284F" w:rsidP="0084284F">
      <w:pPr>
        <w:pStyle w:val="ac"/>
        <w:spacing w:line="240" w:lineRule="auto"/>
        <w:ind w:firstLine="567"/>
        <w:rPr>
          <w:b/>
          <w:sz w:val="24"/>
          <w:szCs w:val="24"/>
        </w:rPr>
      </w:pPr>
      <w:r w:rsidRPr="00D0461C">
        <w:rPr>
          <w:b/>
          <w:sz w:val="24"/>
          <w:szCs w:val="24"/>
        </w:rPr>
        <w:t>2.6. Графа 6 «Название процесса»</w:t>
      </w:r>
    </w:p>
    <w:p w14:paraId="457E9769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В графе «Название процесса» указываются названия процессов из типового перечня процессов, даже если в </w:t>
      </w:r>
      <w:r>
        <w:rPr>
          <w:sz w:val="24"/>
          <w:szCs w:val="24"/>
        </w:rPr>
        <w:t xml:space="preserve">местной администрации </w:t>
      </w:r>
      <w:r w:rsidRPr="00D0461C">
        <w:rPr>
          <w:sz w:val="24"/>
          <w:szCs w:val="24"/>
        </w:rPr>
        <w:t>их названия могут отличаться. Это упрощает дальнейшую работу по подготовке к оценке уровня внедрения клиентоцентричности.</w:t>
      </w:r>
    </w:p>
    <w:p w14:paraId="24835E7A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При наличии уникальных процессов формулировки процессов в графе «Наименование процесса» обязательно должны содержать:</w:t>
      </w:r>
    </w:p>
    <w:p w14:paraId="5ECC4529" w14:textId="77777777" w:rsidR="0084284F" w:rsidRPr="00D0461C" w:rsidRDefault="0084284F" w:rsidP="0084284F">
      <w:pPr>
        <w:pStyle w:val="a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– отглагольное существительное (например, «обработка», «заполнение», «создание», «контроль», «управление»), обозначающее действие, выполняемое над объектом;</w:t>
      </w:r>
    </w:p>
    <w:p w14:paraId="5D8623BD" w14:textId="77777777" w:rsidR="0084284F" w:rsidRPr="00D0461C" w:rsidRDefault="0084284F" w:rsidP="0084284F">
      <w:pPr>
        <w:pStyle w:val="a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– существительное, определяющее объект процесса.</w:t>
      </w:r>
    </w:p>
    <w:p w14:paraId="7E15EE6F" w14:textId="77777777" w:rsidR="0084284F" w:rsidRPr="00D0461C" w:rsidRDefault="0084284F" w:rsidP="0084284F">
      <w:pPr>
        <w:pStyle w:val="ac"/>
        <w:spacing w:line="240" w:lineRule="auto"/>
        <w:ind w:firstLine="567"/>
        <w:rPr>
          <w:i/>
          <w:sz w:val="24"/>
          <w:szCs w:val="24"/>
        </w:rPr>
      </w:pPr>
      <w:r w:rsidRPr="00D0461C">
        <w:rPr>
          <w:i/>
          <w:sz w:val="24"/>
          <w:szCs w:val="24"/>
        </w:rPr>
        <w:lastRenderedPageBreak/>
        <w:t>Примеры:</w:t>
      </w:r>
    </w:p>
    <w:p w14:paraId="2A69244B" w14:textId="77777777" w:rsidR="0084284F" w:rsidRPr="00D0461C" w:rsidRDefault="0084284F" w:rsidP="0084284F">
      <w:pPr>
        <w:pStyle w:val="a"/>
        <w:numPr>
          <w:ilvl w:val="0"/>
          <w:numId w:val="0"/>
        </w:numPr>
        <w:spacing w:line="240" w:lineRule="auto"/>
        <w:ind w:firstLine="567"/>
        <w:rPr>
          <w:i/>
          <w:sz w:val="24"/>
          <w:szCs w:val="24"/>
        </w:rPr>
      </w:pPr>
      <w:r w:rsidRPr="00D0461C">
        <w:rPr>
          <w:i/>
          <w:sz w:val="24"/>
          <w:szCs w:val="24"/>
        </w:rPr>
        <w:t>– составление сводного плана закупок;</w:t>
      </w:r>
    </w:p>
    <w:p w14:paraId="1EA2106A" w14:textId="77777777" w:rsidR="0084284F" w:rsidRPr="00D0461C" w:rsidRDefault="0084284F" w:rsidP="0084284F">
      <w:pPr>
        <w:pStyle w:val="a"/>
        <w:numPr>
          <w:ilvl w:val="0"/>
          <w:numId w:val="0"/>
        </w:numPr>
        <w:spacing w:line="240" w:lineRule="auto"/>
        <w:ind w:firstLine="567"/>
        <w:rPr>
          <w:i/>
          <w:sz w:val="24"/>
          <w:szCs w:val="24"/>
        </w:rPr>
      </w:pPr>
      <w:r w:rsidRPr="00D0461C">
        <w:rPr>
          <w:i/>
          <w:sz w:val="24"/>
          <w:szCs w:val="24"/>
        </w:rPr>
        <w:t>– осуществление подбора персонала;</w:t>
      </w:r>
    </w:p>
    <w:p w14:paraId="4A5C6AB4" w14:textId="77777777" w:rsidR="0084284F" w:rsidRPr="00D0461C" w:rsidRDefault="0084284F" w:rsidP="0084284F">
      <w:pPr>
        <w:pStyle w:val="a"/>
        <w:numPr>
          <w:ilvl w:val="0"/>
          <w:numId w:val="0"/>
        </w:numPr>
        <w:spacing w:line="240" w:lineRule="auto"/>
        <w:ind w:firstLine="567"/>
        <w:rPr>
          <w:i/>
          <w:sz w:val="24"/>
          <w:szCs w:val="24"/>
        </w:rPr>
      </w:pPr>
      <w:r w:rsidRPr="00D0461C">
        <w:rPr>
          <w:i/>
          <w:sz w:val="24"/>
          <w:szCs w:val="24"/>
        </w:rPr>
        <w:t>– ведение бухгалтерского учета.</w:t>
      </w:r>
    </w:p>
    <w:p w14:paraId="56765E12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Ключевое правило формулировок в данных блоках – коротко, но емко описать суть процесса, чтобы ее мог понять каждый.</w:t>
      </w:r>
    </w:p>
    <w:p w14:paraId="1603BAD9" w14:textId="77777777" w:rsidR="0084284F" w:rsidRPr="00D0461C" w:rsidRDefault="0084284F" w:rsidP="0084284F">
      <w:pPr>
        <w:pStyle w:val="ac"/>
        <w:spacing w:line="240" w:lineRule="auto"/>
        <w:ind w:firstLine="567"/>
        <w:rPr>
          <w:i/>
          <w:sz w:val="24"/>
          <w:szCs w:val="24"/>
        </w:rPr>
      </w:pPr>
      <w:r w:rsidRPr="00D0461C">
        <w:rPr>
          <w:i/>
          <w:sz w:val="24"/>
          <w:szCs w:val="24"/>
        </w:rPr>
        <w:t xml:space="preserve">Пример названия «Подготовка отчета» содержит и действие, и объект, однако </w:t>
      </w:r>
      <w:r w:rsidRPr="00D0461C">
        <w:rPr>
          <w:i/>
          <w:sz w:val="24"/>
          <w:szCs w:val="24"/>
        </w:rPr>
        <w:br/>
        <w:t>не раскрывает сути процесса, поэтому не может быть использовано в реестре.</w:t>
      </w:r>
    </w:p>
    <w:p w14:paraId="2823D64C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В названии процессов не рекомендуется использовать слова работа, деятельность, функция и другие слова, определяющие абстрактную деятельность.</w:t>
      </w:r>
    </w:p>
    <w:p w14:paraId="01E0F5AF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В названии процесса не указывается наименование должности, подразделения и роли участников процесса, информационная система.</w:t>
      </w:r>
    </w:p>
    <w:p w14:paraId="2E3DE669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22" w:name="_Toc122606282"/>
      <w:bookmarkStart w:id="23" w:name="_Toc146527889"/>
      <w:r w:rsidRPr="00D0461C">
        <w:rPr>
          <w:rFonts w:ascii="Times New Roman" w:hAnsi="Times New Roman"/>
          <w:sz w:val="24"/>
          <w:szCs w:val="24"/>
        </w:rPr>
        <w:t>2.7. Графа 7 «Ответственный за процесс»</w:t>
      </w:r>
    </w:p>
    <w:p w14:paraId="17BD0797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В графе «Ответственный за процесс» необходимо указать лицо, которое будет выступать ответственным за реинжиниринг процесса. Такой ответственный должен выступать в роли «внутреннего заказчика» в рамках реинжиниринга процесса. При этом непосредственный реинжиниринг (например, внесение изменений в регламенты, инструкции, информационные системы) могут осуществлять другие сотрудники, </w:t>
      </w:r>
      <w:r w:rsidRPr="00D0461C">
        <w:rPr>
          <w:sz w:val="24"/>
          <w:szCs w:val="24"/>
        </w:rPr>
        <w:br/>
        <w:t>и ответственный может выступать их координатором.</w:t>
      </w:r>
    </w:p>
    <w:p w14:paraId="49D8F43C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24" w:name="_Toc146527894"/>
      <w:bookmarkEnd w:id="21"/>
      <w:bookmarkEnd w:id="22"/>
      <w:bookmarkEnd w:id="23"/>
      <w:r w:rsidRPr="00D0461C">
        <w:rPr>
          <w:rFonts w:ascii="Times New Roman" w:hAnsi="Times New Roman"/>
          <w:sz w:val="24"/>
          <w:szCs w:val="24"/>
        </w:rPr>
        <w:t>2.8. Графа 8 «Статус процесса (статус реинжиниринга)»</w:t>
      </w:r>
      <w:bookmarkEnd w:id="24"/>
    </w:p>
    <w:p w14:paraId="231E8D79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В графе «Статус процесса» необходимо указать статус реинжиниринга.</w:t>
      </w:r>
    </w:p>
    <w:p w14:paraId="66260F1B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Предлагается использовать следующие статусы:</w:t>
      </w:r>
    </w:p>
    <w:p w14:paraId="5D1E68D5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– в очереди на исследование (диагностику);</w:t>
      </w:r>
    </w:p>
    <w:p w14:paraId="72A88E0A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– идет исследование (диагностика);</w:t>
      </w:r>
    </w:p>
    <w:p w14:paraId="475E0D98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– в очереди на реинжиниринг;</w:t>
      </w:r>
    </w:p>
    <w:p w14:paraId="7E3C52B6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– проходит реинжиниринг;</w:t>
      </w:r>
    </w:p>
    <w:p w14:paraId="6B3E0FCB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– прошел реинжиниринг;</w:t>
      </w:r>
    </w:p>
    <w:p w14:paraId="46F0CC5E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– отправлен на сертификацию;</w:t>
      </w:r>
    </w:p>
    <w:p w14:paraId="1EDD0219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– сертифицирован.</w:t>
      </w:r>
    </w:p>
    <w:p w14:paraId="1FA64BA8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25" w:name="_Toc146527895"/>
      <w:r w:rsidRPr="00D0461C">
        <w:rPr>
          <w:rFonts w:ascii="Times New Roman" w:hAnsi="Times New Roman"/>
          <w:sz w:val="24"/>
          <w:szCs w:val="24"/>
        </w:rPr>
        <w:t>2.9. Графа 9 «Клиент»</w:t>
      </w:r>
      <w:bookmarkEnd w:id="25"/>
    </w:p>
    <w:p w14:paraId="49B125F3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В графе «Клиент» необходимо указать образ конечного получателя результата процесса</w:t>
      </w:r>
      <w:r w:rsidRPr="00D0461C">
        <w:rPr>
          <w:color w:val="FF0000"/>
          <w:sz w:val="24"/>
          <w:szCs w:val="24"/>
        </w:rPr>
        <w:t xml:space="preserve">. </w:t>
      </w:r>
      <w:r w:rsidRPr="00D0461C">
        <w:rPr>
          <w:sz w:val="24"/>
          <w:szCs w:val="24"/>
        </w:rPr>
        <w:t xml:space="preserve">Уровень конкретизации остается на усмотрение </w:t>
      </w:r>
      <w:r>
        <w:rPr>
          <w:sz w:val="24"/>
          <w:szCs w:val="24"/>
        </w:rPr>
        <w:t>местной администрации</w:t>
      </w:r>
      <w:r w:rsidRPr="00D0461C">
        <w:rPr>
          <w:sz w:val="24"/>
          <w:szCs w:val="24"/>
        </w:rPr>
        <w:t>.</w:t>
      </w:r>
    </w:p>
    <w:p w14:paraId="2C09C4C7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26" w:name="_Toc146527903"/>
      <w:bookmarkStart w:id="27" w:name="_Toc121754232"/>
      <w:bookmarkStart w:id="28" w:name="_Toc122606304"/>
      <w:r w:rsidRPr="00D0461C">
        <w:rPr>
          <w:rFonts w:ascii="Times New Roman" w:hAnsi="Times New Roman"/>
          <w:sz w:val="24"/>
          <w:szCs w:val="24"/>
        </w:rPr>
        <w:t>2.10. Графа 10 «Ценность для клиента»</w:t>
      </w:r>
      <w:bookmarkEnd w:id="26"/>
    </w:p>
    <w:p w14:paraId="0DCED68B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В графе «Ценность для клиента» предлагается указать, какую ценность имеет соответствующая функция, услуга или сервис для конечного получателя. Например, получение водительского удостоверения позволяет управлять транспортным средством.</w:t>
      </w:r>
    </w:p>
    <w:p w14:paraId="53095A94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29" w:name="_Toc146527904"/>
      <w:r w:rsidRPr="00D0461C">
        <w:rPr>
          <w:rFonts w:ascii="Times New Roman" w:hAnsi="Times New Roman"/>
          <w:sz w:val="24"/>
          <w:szCs w:val="24"/>
        </w:rPr>
        <w:t>2.11. Графа 11 «</w:t>
      </w:r>
      <w:bookmarkEnd w:id="27"/>
      <w:bookmarkEnd w:id="28"/>
      <w:r w:rsidRPr="00D0461C">
        <w:rPr>
          <w:rFonts w:ascii="Times New Roman" w:hAnsi="Times New Roman"/>
          <w:sz w:val="24"/>
          <w:szCs w:val="24"/>
        </w:rPr>
        <w:t>Данные на входе»</w:t>
      </w:r>
      <w:bookmarkEnd w:id="29"/>
    </w:p>
    <w:p w14:paraId="28E4AF91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В графе «Данные на входе» необходимо указать, получение каких сведений </w:t>
      </w:r>
      <w:r w:rsidRPr="00D0461C">
        <w:rPr>
          <w:sz w:val="24"/>
          <w:szCs w:val="24"/>
        </w:rPr>
        <w:br/>
        <w:t xml:space="preserve">и (или) документов необходимо для начала процесса. Например, это может быть какой-либо результат предыдущего процесса, данные от заявителя или данные </w:t>
      </w:r>
      <w:r w:rsidRPr="00D0461C">
        <w:rPr>
          <w:sz w:val="24"/>
          <w:szCs w:val="24"/>
        </w:rPr>
        <w:br/>
        <w:t xml:space="preserve">из информационной системы. </w:t>
      </w:r>
    </w:p>
    <w:p w14:paraId="6830124F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30" w:name="_Toc121754233"/>
      <w:bookmarkStart w:id="31" w:name="_Toc122606305"/>
      <w:bookmarkStart w:id="32" w:name="_Toc146527905"/>
      <w:r w:rsidRPr="00D0461C">
        <w:rPr>
          <w:rFonts w:ascii="Times New Roman" w:hAnsi="Times New Roman"/>
          <w:sz w:val="24"/>
          <w:szCs w:val="24"/>
        </w:rPr>
        <w:t>2.12. Графа 12 «</w:t>
      </w:r>
      <w:bookmarkEnd w:id="30"/>
      <w:bookmarkEnd w:id="31"/>
      <w:r w:rsidRPr="00D0461C">
        <w:rPr>
          <w:rFonts w:ascii="Times New Roman" w:hAnsi="Times New Roman"/>
          <w:sz w:val="24"/>
          <w:szCs w:val="24"/>
        </w:rPr>
        <w:t>Результат на выходе»</w:t>
      </w:r>
      <w:bookmarkEnd w:id="32"/>
    </w:p>
    <w:p w14:paraId="173B493A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В графе «Результат на выходе» предлагается указать, какой результат получается</w:t>
      </w:r>
      <w:r w:rsidRPr="00D0461C">
        <w:rPr>
          <w:sz w:val="24"/>
          <w:szCs w:val="24"/>
        </w:rPr>
        <w:br/>
        <w:t xml:space="preserve">при завершении процесса. Результатом могут быть сведения или документ (например, справка), так и внесение записи в реестр, внесение отметки в журнале, проставление статуса в информационной системе и т.д. </w:t>
      </w:r>
    </w:p>
    <w:p w14:paraId="5874F875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33" w:name="_Toc121754234"/>
      <w:bookmarkStart w:id="34" w:name="_Toc125951817"/>
      <w:bookmarkStart w:id="35" w:name="_Hlk125954926"/>
      <w:bookmarkStart w:id="36" w:name="_Toc146527906"/>
      <w:r w:rsidRPr="00D0461C">
        <w:rPr>
          <w:rFonts w:ascii="Times New Roman" w:hAnsi="Times New Roman"/>
          <w:sz w:val="24"/>
          <w:szCs w:val="24"/>
        </w:rPr>
        <w:t>2.13. Графа 13 «Связь с другими процессами»</w:t>
      </w:r>
      <w:bookmarkEnd w:id="33"/>
      <w:bookmarkEnd w:id="34"/>
      <w:bookmarkEnd w:id="35"/>
      <w:bookmarkEnd w:id="36"/>
    </w:p>
    <w:p w14:paraId="1A6C77CC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В графе «Связь с другими процессами» предлагается указать идентификаторы процессов, которые связаны с указанным процессом. Также может быть указан тип связи, например, предшествующий/последующий процесс. </w:t>
      </w:r>
      <w:bookmarkStart w:id="37" w:name="_Toc121754240"/>
      <w:bookmarkStart w:id="38" w:name="_Toc122606311"/>
    </w:p>
    <w:p w14:paraId="4E3C980A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39" w:name="_Toc146527907"/>
      <w:r w:rsidRPr="00D0461C">
        <w:rPr>
          <w:rFonts w:ascii="Times New Roman" w:hAnsi="Times New Roman"/>
          <w:sz w:val="24"/>
          <w:szCs w:val="24"/>
        </w:rPr>
        <w:lastRenderedPageBreak/>
        <w:t>2.14. Графа 14 «Вид процесса»</w:t>
      </w:r>
      <w:bookmarkEnd w:id="37"/>
      <w:bookmarkEnd w:id="38"/>
      <w:bookmarkEnd w:id="39"/>
    </w:p>
    <w:p w14:paraId="05A183B0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 xml:space="preserve">В графе «Вид процесса» предлагается указать, осуществляется ли процесс автоматически, например, в рамках работы информационной системы, </w:t>
      </w:r>
      <w:r w:rsidRPr="00D0461C">
        <w:rPr>
          <w:sz w:val="24"/>
          <w:szCs w:val="24"/>
        </w:rPr>
        <w:br/>
        <w:t xml:space="preserve">или же осуществляется вручную сотрудниками </w:t>
      </w:r>
      <w:r>
        <w:rPr>
          <w:sz w:val="24"/>
          <w:szCs w:val="24"/>
        </w:rPr>
        <w:t>местной администрации</w:t>
      </w:r>
      <w:r w:rsidRPr="00D0461C">
        <w:rPr>
          <w:sz w:val="24"/>
          <w:szCs w:val="24"/>
        </w:rPr>
        <w:t xml:space="preserve">. </w:t>
      </w:r>
    </w:p>
    <w:p w14:paraId="2045B86D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bookmarkStart w:id="40" w:name="_Toc121754241"/>
      <w:bookmarkStart w:id="41" w:name="_Toc122606312"/>
      <w:bookmarkStart w:id="42" w:name="_Toc146527908"/>
      <w:r w:rsidRPr="00D0461C">
        <w:rPr>
          <w:rFonts w:ascii="Times New Roman" w:hAnsi="Times New Roman"/>
          <w:sz w:val="24"/>
          <w:szCs w:val="24"/>
        </w:rPr>
        <w:t>2.15. Графа 15 «Точка размещения в цифровом виде»</w:t>
      </w:r>
      <w:bookmarkEnd w:id="40"/>
      <w:bookmarkEnd w:id="41"/>
      <w:bookmarkEnd w:id="42"/>
    </w:p>
    <w:p w14:paraId="2DC0FDFF" w14:textId="77777777" w:rsidR="0084284F" w:rsidRPr="00D0461C" w:rsidRDefault="0084284F" w:rsidP="0084284F">
      <w:pPr>
        <w:pStyle w:val="ac"/>
        <w:spacing w:line="240" w:lineRule="auto"/>
        <w:ind w:firstLine="567"/>
        <w:rPr>
          <w:sz w:val="24"/>
          <w:szCs w:val="24"/>
        </w:rPr>
      </w:pPr>
      <w:r w:rsidRPr="00D0461C">
        <w:rPr>
          <w:sz w:val="24"/>
          <w:szCs w:val="24"/>
        </w:rPr>
        <w:t>В случае, если услуга или сервис предоставляются в электронном виде, предлагается указать, в какой точке они доступны –</w:t>
      </w:r>
      <w:r>
        <w:rPr>
          <w:sz w:val="24"/>
          <w:szCs w:val="24"/>
        </w:rPr>
        <w:t xml:space="preserve"> </w:t>
      </w:r>
      <w:r w:rsidRPr="00D0461C">
        <w:rPr>
          <w:sz w:val="24"/>
          <w:szCs w:val="24"/>
        </w:rPr>
        <w:t>федеральная государственная информационная система «Единый портал государственных и муниципальных услуг (функций)» (</w:t>
      </w:r>
      <w:hyperlink r:id="rId9" w:history="1">
        <w:r w:rsidRPr="00D0461C">
          <w:rPr>
            <w:rStyle w:val="a9"/>
            <w:bCs/>
            <w:iCs/>
            <w:sz w:val="24"/>
            <w:szCs w:val="24"/>
            <w:lang w:bidi="ru-RU"/>
          </w:rPr>
          <w:t>https://www.gosuslugi.ru/</w:t>
        </w:r>
      </w:hyperlink>
      <w:r w:rsidRPr="00D0461C">
        <w:rPr>
          <w:sz w:val="24"/>
          <w:szCs w:val="24"/>
        </w:rPr>
        <w:t>, ЕПГУ), портал «Государственные и муниципальные услуги (функции) в Санкт-Петербурге» (</w:t>
      </w:r>
      <w:hyperlink r:id="rId10" w:history="1">
        <w:r w:rsidRPr="00D0461C">
          <w:rPr>
            <w:rStyle w:val="a9"/>
            <w:bCs/>
            <w:iCs/>
            <w:sz w:val="24"/>
            <w:szCs w:val="24"/>
          </w:rPr>
          <w:t>http://gu.spb.ru</w:t>
        </w:r>
      </w:hyperlink>
      <w:r w:rsidRPr="00D0461C">
        <w:rPr>
          <w:sz w:val="24"/>
          <w:szCs w:val="24"/>
        </w:rPr>
        <w:t>, РПГУ), сайт ведомства.</w:t>
      </w:r>
    </w:p>
    <w:p w14:paraId="647A667A" w14:textId="77777777" w:rsidR="0084284F" w:rsidRDefault="0084284F"/>
    <w:sectPr w:rsidR="0084284F" w:rsidSect="001C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BA11" w14:textId="77777777" w:rsidR="00644216" w:rsidRDefault="00644216" w:rsidP="0084284F">
      <w:r>
        <w:separator/>
      </w:r>
    </w:p>
  </w:endnote>
  <w:endnote w:type="continuationSeparator" w:id="0">
    <w:p w14:paraId="0B161B71" w14:textId="77777777" w:rsidR="00644216" w:rsidRDefault="00644216" w:rsidP="0084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B9F92" w14:textId="77777777" w:rsidR="00644216" w:rsidRDefault="00644216" w:rsidP="0084284F">
      <w:r>
        <w:separator/>
      </w:r>
    </w:p>
  </w:footnote>
  <w:footnote w:type="continuationSeparator" w:id="0">
    <w:p w14:paraId="0BC0BE76" w14:textId="77777777" w:rsidR="00644216" w:rsidRDefault="00644216" w:rsidP="0084284F">
      <w:r>
        <w:continuationSeparator/>
      </w:r>
    </w:p>
  </w:footnote>
  <w:footnote w:id="1">
    <w:p w14:paraId="5FDCF5A7" w14:textId="77777777" w:rsidR="0084284F" w:rsidRDefault="0084284F" w:rsidP="0084284F">
      <w:pPr>
        <w:pStyle w:val="ac"/>
        <w:spacing w:line="240" w:lineRule="auto"/>
        <w:ind w:firstLine="567"/>
        <w:rPr>
          <w:sz w:val="20"/>
          <w:szCs w:val="20"/>
        </w:rPr>
      </w:pPr>
      <w:r>
        <w:rPr>
          <w:rStyle w:val="af1"/>
          <w:sz w:val="20"/>
          <w:szCs w:val="20"/>
        </w:rPr>
        <w:footnoteRef/>
      </w:r>
      <w:r>
        <w:rPr>
          <w:sz w:val="20"/>
          <w:szCs w:val="20"/>
        </w:rPr>
        <w:t xml:space="preserve"> Графы: «Идентификатор процесса», «Название услуги, функции, сервиса», «Название процесса», «Ответственный за процесс», «Статус процесса (статус реинжиниринга)» являются обязательными </w:t>
      </w:r>
      <w:r>
        <w:rPr>
          <w:sz w:val="20"/>
          <w:szCs w:val="20"/>
        </w:rPr>
        <w:br/>
        <w:t>для заполнения. Остальные графы не являются обязательными, но рекомендованы для заполнения.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AA"/>
    <w:multiLevelType w:val="multilevel"/>
    <w:tmpl w:val="7D1E5E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83286"/>
    <w:multiLevelType w:val="multilevel"/>
    <w:tmpl w:val="13C84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552257B"/>
    <w:multiLevelType w:val="hybridMultilevel"/>
    <w:tmpl w:val="41BACC64"/>
    <w:lvl w:ilvl="0" w:tplc="ABF0A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28EEC64">
      <w:start w:val="1"/>
      <w:numFmt w:val="lowerLetter"/>
      <w:lvlText w:val="%2."/>
      <w:lvlJc w:val="left"/>
      <w:pPr>
        <w:ind w:left="1647" w:hanging="360"/>
      </w:pPr>
    </w:lvl>
    <w:lvl w:ilvl="2" w:tplc="6F72C94C">
      <w:start w:val="1"/>
      <w:numFmt w:val="lowerRoman"/>
      <w:lvlText w:val="%3."/>
      <w:lvlJc w:val="right"/>
      <w:pPr>
        <w:ind w:left="2367" w:hanging="180"/>
      </w:pPr>
    </w:lvl>
    <w:lvl w:ilvl="3" w:tplc="0D16678C">
      <w:start w:val="1"/>
      <w:numFmt w:val="decimal"/>
      <w:lvlText w:val="%4."/>
      <w:lvlJc w:val="left"/>
      <w:pPr>
        <w:ind w:left="3087" w:hanging="360"/>
      </w:pPr>
    </w:lvl>
    <w:lvl w:ilvl="4" w:tplc="05862186">
      <w:start w:val="1"/>
      <w:numFmt w:val="lowerLetter"/>
      <w:lvlText w:val="%5."/>
      <w:lvlJc w:val="left"/>
      <w:pPr>
        <w:ind w:left="3807" w:hanging="360"/>
      </w:pPr>
    </w:lvl>
    <w:lvl w:ilvl="5" w:tplc="57E206F8">
      <w:start w:val="1"/>
      <w:numFmt w:val="lowerRoman"/>
      <w:lvlText w:val="%6."/>
      <w:lvlJc w:val="right"/>
      <w:pPr>
        <w:ind w:left="4527" w:hanging="180"/>
      </w:pPr>
    </w:lvl>
    <w:lvl w:ilvl="6" w:tplc="BA74A9A6">
      <w:start w:val="1"/>
      <w:numFmt w:val="decimal"/>
      <w:lvlText w:val="%7."/>
      <w:lvlJc w:val="left"/>
      <w:pPr>
        <w:ind w:left="5247" w:hanging="360"/>
      </w:pPr>
    </w:lvl>
    <w:lvl w:ilvl="7" w:tplc="C6D68346">
      <w:start w:val="1"/>
      <w:numFmt w:val="lowerLetter"/>
      <w:lvlText w:val="%8."/>
      <w:lvlJc w:val="left"/>
      <w:pPr>
        <w:ind w:left="5967" w:hanging="360"/>
      </w:pPr>
    </w:lvl>
    <w:lvl w:ilvl="8" w:tplc="A1B29480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8065E3"/>
    <w:multiLevelType w:val="multilevel"/>
    <w:tmpl w:val="FA24BC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303049"/>
    <w:multiLevelType w:val="multilevel"/>
    <w:tmpl w:val="197C2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5A6EE8"/>
    <w:multiLevelType w:val="hybridMultilevel"/>
    <w:tmpl w:val="F828B59C"/>
    <w:lvl w:ilvl="0" w:tplc="1536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C0663C"/>
    <w:multiLevelType w:val="hybridMultilevel"/>
    <w:tmpl w:val="25ACC33E"/>
    <w:lvl w:ilvl="0" w:tplc="DD72010E">
      <w:start w:val="1"/>
      <w:numFmt w:val="decimal"/>
      <w:lvlText w:val="%1."/>
      <w:legacy w:legacy="1" w:legacySpace="0" w:legacyIndent="360"/>
      <w:lvlJc w:val="left"/>
      <w:pPr>
        <w:ind w:left="708" w:firstLine="0"/>
      </w:pPr>
      <w:rPr>
        <w:rFonts w:ascii="Times New Roman" w:hAnsi="Times New Roman" w:cs="Times New Roman" w:hint="default"/>
      </w:rPr>
    </w:lvl>
    <w:lvl w:ilvl="1" w:tplc="8C16B510">
      <w:numFmt w:val="none"/>
      <w:lvlText w:val=""/>
      <w:lvlJc w:val="left"/>
      <w:pPr>
        <w:tabs>
          <w:tab w:val="num" w:pos="1068"/>
        </w:tabs>
        <w:ind w:left="708" w:firstLine="0"/>
      </w:pPr>
    </w:lvl>
    <w:lvl w:ilvl="2" w:tplc="944CBAB0">
      <w:numFmt w:val="none"/>
      <w:lvlText w:val=""/>
      <w:lvlJc w:val="left"/>
      <w:pPr>
        <w:tabs>
          <w:tab w:val="num" w:pos="1068"/>
        </w:tabs>
        <w:ind w:left="708" w:firstLine="0"/>
      </w:pPr>
    </w:lvl>
    <w:lvl w:ilvl="3" w:tplc="A9B87AB0">
      <w:numFmt w:val="none"/>
      <w:lvlText w:val=""/>
      <w:lvlJc w:val="left"/>
      <w:pPr>
        <w:tabs>
          <w:tab w:val="num" w:pos="1068"/>
        </w:tabs>
        <w:ind w:left="708" w:firstLine="0"/>
      </w:pPr>
    </w:lvl>
    <w:lvl w:ilvl="4" w:tplc="15523564">
      <w:numFmt w:val="none"/>
      <w:lvlText w:val=""/>
      <w:lvlJc w:val="left"/>
      <w:pPr>
        <w:tabs>
          <w:tab w:val="num" w:pos="1068"/>
        </w:tabs>
        <w:ind w:left="708" w:firstLine="0"/>
      </w:pPr>
    </w:lvl>
    <w:lvl w:ilvl="5" w:tplc="9C4CBD22">
      <w:numFmt w:val="none"/>
      <w:lvlText w:val=""/>
      <w:lvlJc w:val="left"/>
      <w:pPr>
        <w:tabs>
          <w:tab w:val="num" w:pos="1068"/>
        </w:tabs>
        <w:ind w:left="708" w:firstLine="0"/>
      </w:pPr>
    </w:lvl>
    <w:lvl w:ilvl="6" w:tplc="56F42D06">
      <w:numFmt w:val="none"/>
      <w:lvlText w:val=""/>
      <w:lvlJc w:val="left"/>
      <w:pPr>
        <w:tabs>
          <w:tab w:val="num" w:pos="1068"/>
        </w:tabs>
        <w:ind w:left="708" w:firstLine="0"/>
      </w:pPr>
    </w:lvl>
    <w:lvl w:ilvl="7" w:tplc="B98CC392">
      <w:numFmt w:val="none"/>
      <w:lvlText w:val=""/>
      <w:lvlJc w:val="left"/>
      <w:pPr>
        <w:tabs>
          <w:tab w:val="num" w:pos="1068"/>
        </w:tabs>
        <w:ind w:left="708" w:firstLine="0"/>
      </w:pPr>
    </w:lvl>
    <w:lvl w:ilvl="8" w:tplc="4ECC52F6">
      <w:numFmt w:val="none"/>
      <w:lvlText w:val=""/>
      <w:lvlJc w:val="left"/>
      <w:pPr>
        <w:tabs>
          <w:tab w:val="num" w:pos="1068"/>
        </w:tabs>
        <w:ind w:left="708" w:firstLine="0"/>
      </w:pPr>
    </w:lvl>
  </w:abstractNum>
  <w:abstractNum w:abstractNumId="7" w15:restartNumberingAfterBreak="0">
    <w:nsid w:val="21130F22"/>
    <w:multiLevelType w:val="multilevel"/>
    <w:tmpl w:val="9DA6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8" w15:restartNumberingAfterBreak="0">
    <w:nsid w:val="21FA1AF1"/>
    <w:multiLevelType w:val="hybridMultilevel"/>
    <w:tmpl w:val="AAFC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90134"/>
    <w:multiLevelType w:val="multilevel"/>
    <w:tmpl w:val="13C84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9710EF1"/>
    <w:multiLevelType w:val="multilevel"/>
    <w:tmpl w:val="E5DE2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2B5524B3"/>
    <w:multiLevelType w:val="multilevel"/>
    <w:tmpl w:val="36828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855BF0"/>
    <w:multiLevelType w:val="hybridMultilevel"/>
    <w:tmpl w:val="94C01986"/>
    <w:lvl w:ilvl="0" w:tplc="ED243322">
      <w:start w:val="1"/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D243322">
      <w:start w:val="1"/>
      <w:numFmt w:val="bullet"/>
      <w:lvlText w:val="-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 w:hint="default"/>
      </w:rPr>
    </w:lvl>
    <w:lvl w:ilvl="3" w:tplc="B7DE6B36">
      <w:start w:val="2"/>
      <w:numFmt w:val="decimal"/>
      <w:lvlText w:val="2.6.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ED243322">
      <w:start w:val="1"/>
      <w:numFmt w:val="bullet"/>
      <w:lvlText w:val="-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2F1B5F"/>
    <w:multiLevelType w:val="multilevel"/>
    <w:tmpl w:val="769474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361626D7"/>
    <w:multiLevelType w:val="hybridMultilevel"/>
    <w:tmpl w:val="9072CED0"/>
    <w:lvl w:ilvl="0" w:tplc="86A85078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7384E9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E244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AB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82B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CA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EE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A40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83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30885"/>
    <w:multiLevelType w:val="multilevel"/>
    <w:tmpl w:val="1820E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3997A19"/>
    <w:multiLevelType w:val="multilevel"/>
    <w:tmpl w:val="A1E0B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5E64C9"/>
    <w:multiLevelType w:val="multilevel"/>
    <w:tmpl w:val="13C84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E8A5AA6"/>
    <w:multiLevelType w:val="hybridMultilevel"/>
    <w:tmpl w:val="186EA074"/>
    <w:lvl w:ilvl="0" w:tplc="11A0A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E974EF"/>
    <w:multiLevelType w:val="multilevel"/>
    <w:tmpl w:val="717ACD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20" w15:restartNumberingAfterBreak="0">
    <w:nsid w:val="5D072FA0"/>
    <w:multiLevelType w:val="multilevel"/>
    <w:tmpl w:val="D10C60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B86270"/>
    <w:multiLevelType w:val="multilevel"/>
    <w:tmpl w:val="78EC8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57A43"/>
    <w:multiLevelType w:val="hybridMultilevel"/>
    <w:tmpl w:val="59B4D480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7D0596B"/>
    <w:multiLevelType w:val="hybridMultilevel"/>
    <w:tmpl w:val="28CEEAC0"/>
    <w:lvl w:ilvl="0" w:tplc="BCCC6CA0">
      <w:start w:val="1"/>
      <w:numFmt w:val="decimal"/>
      <w:lvlText w:val="5.%1."/>
      <w:lvlJc w:val="left"/>
      <w:pPr>
        <w:tabs>
          <w:tab w:val="num" w:pos="1590"/>
        </w:tabs>
        <w:ind w:left="1534" w:hanging="454"/>
      </w:pPr>
      <w:rPr>
        <w:rFonts w:ascii="Arial" w:hAnsi="Arial" w:cs="Arial" w:hint="default"/>
        <w:sz w:val="20"/>
        <w:szCs w:val="20"/>
      </w:rPr>
    </w:lvl>
    <w:lvl w:ilvl="1" w:tplc="345E7C4A">
      <w:start w:val="1"/>
      <w:numFmt w:val="decimal"/>
      <w:lvlText w:val="5.%2."/>
      <w:lvlJc w:val="left"/>
      <w:pPr>
        <w:tabs>
          <w:tab w:val="num" w:pos="1590"/>
        </w:tabs>
        <w:ind w:left="1534" w:hanging="454"/>
      </w:pPr>
      <w:rPr>
        <w:rFonts w:ascii="Times New Roman" w:hAnsi="Times New Roman" w:cs="Times New Roman" w:hint="default"/>
        <w:sz w:val="22"/>
        <w:szCs w:val="22"/>
      </w:rPr>
    </w:lvl>
    <w:lvl w:ilvl="2" w:tplc="618E20D8">
      <w:start w:val="1"/>
      <w:numFmt w:val="decimal"/>
      <w:lvlText w:val="5.2.%3."/>
      <w:lvlJc w:val="left"/>
      <w:pPr>
        <w:tabs>
          <w:tab w:val="num" w:pos="1340"/>
        </w:tabs>
        <w:ind w:left="1340" w:hanging="360"/>
      </w:pPr>
      <w:rPr>
        <w:rFonts w:hint="default"/>
        <w:sz w:val="20"/>
        <w:szCs w:val="20"/>
      </w:rPr>
    </w:lvl>
    <w:lvl w:ilvl="3" w:tplc="DF10E51A">
      <w:start w:val="1"/>
      <w:numFmt w:val="decimal"/>
      <w:lvlText w:val="5.3.%4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542ADE"/>
    <w:multiLevelType w:val="multilevel"/>
    <w:tmpl w:val="A112D64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F76CDF"/>
    <w:multiLevelType w:val="multilevel"/>
    <w:tmpl w:val="10C25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6" w15:restartNumberingAfterBreak="0">
    <w:nsid w:val="6C3B55E7"/>
    <w:multiLevelType w:val="multilevel"/>
    <w:tmpl w:val="8776307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4372019"/>
    <w:multiLevelType w:val="multilevel"/>
    <w:tmpl w:val="445A87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5E06B34"/>
    <w:multiLevelType w:val="multilevel"/>
    <w:tmpl w:val="FDBC9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7972646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60353395">
    <w:abstractNumId w:val="21"/>
  </w:num>
  <w:num w:numId="3" w16cid:durableId="1266159082">
    <w:abstractNumId w:val="18"/>
  </w:num>
  <w:num w:numId="4" w16cid:durableId="433480824">
    <w:abstractNumId w:val="8"/>
  </w:num>
  <w:num w:numId="5" w16cid:durableId="2063015661">
    <w:abstractNumId w:val="23"/>
  </w:num>
  <w:num w:numId="6" w16cid:durableId="723791262">
    <w:abstractNumId w:val="20"/>
  </w:num>
  <w:num w:numId="7" w16cid:durableId="1388526245">
    <w:abstractNumId w:val="12"/>
  </w:num>
  <w:num w:numId="8" w16cid:durableId="300310950">
    <w:abstractNumId w:val="24"/>
  </w:num>
  <w:num w:numId="9" w16cid:durableId="1855530920">
    <w:abstractNumId w:val="13"/>
  </w:num>
  <w:num w:numId="10" w16cid:durableId="2139060582">
    <w:abstractNumId w:val="11"/>
  </w:num>
  <w:num w:numId="11" w16cid:durableId="1251544386">
    <w:abstractNumId w:val="0"/>
  </w:num>
  <w:num w:numId="12" w16cid:durableId="1603876825">
    <w:abstractNumId w:val="26"/>
  </w:num>
  <w:num w:numId="13" w16cid:durableId="525102783">
    <w:abstractNumId w:val="22"/>
  </w:num>
  <w:num w:numId="14" w16cid:durableId="1378511872">
    <w:abstractNumId w:val="16"/>
  </w:num>
  <w:num w:numId="15" w16cid:durableId="2036536236">
    <w:abstractNumId w:val="4"/>
  </w:num>
  <w:num w:numId="16" w16cid:durableId="1508448113">
    <w:abstractNumId w:val="15"/>
  </w:num>
  <w:num w:numId="17" w16cid:durableId="1882013565">
    <w:abstractNumId w:val="10"/>
  </w:num>
  <w:num w:numId="18" w16cid:durableId="209196500">
    <w:abstractNumId w:val="3"/>
  </w:num>
  <w:num w:numId="19" w16cid:durableId="934287674">
    <w:abstractNumId w:val="25"/>
  </w:num>
  <w:num w:numId="20" w16cid:durableId="1017388318">
    <w:abstractNumId w:val="27"/>
  </w:num>
  <w:num w:numId="21" w16cid:durableId="1744453564">
    <w:abstractNumId w:val="1"/>
  </w:num>
  <w:num w:numId="22" w16cid:durableId="1968312312">
    <w:abstractNumId w:val="7"/>
  </w:num>
  <w:num w:numId="23" w16cid:durableId="2365448">
    <w:abstractNumId w:val="19"/>
  </w:num>
  <w:num w:numId="24" w16cid:durableId="1136141809">
    <w:abstractNumId w:val="17"/>
  </w:num>
  <w:num w:numId="25" w16cid:durableId="1274435852">
    <w:abstractNumId w:val="9"/>
  </w:num>
  <w:num w:numId="26" w16cid:durableId="111898723">
    <w:abstractNumId w:val="28"/>
  </w:num>
  <w:num w:numId="27" w16cid:durableId="1999263352">
    <w:abstractNumId w:val="5"/>
  </w:num>
  <w:num w:numId="28" w16cid:durableId="1886864468">
    <w:abstractNumId w:val="14"/>
  </w:num>
  <w:num w:numId="29" w16cid:durableId="367607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29"/>
    <w:rsid w:val="00002170"/>
    <w:rsid w:val="000078A6"/>
    <w:rsid w:val="00012CC2"/>
    <w:rsid w:val="00014B18"/>
    <w:rsid w:val="00037A31"/>
    <w:rsid w:val="00046867"/>
    <w:rsid w:val="000D08C4"/>
    <w:rsid w:val="000F04D2"/>
    <w:rsid w:val="00107534"/>
    <w:rsid w:val="00107D74"/>
    <w:rsid w:val="0013739C"/>
    <w:rsid w:val="001377F7"/>
    <w:rsid w:val="001431F6"/>
    <w:rsid w:val="001538AA"/>
    <w:rsid w:val="0017029C"/>
    <w:rsid w:val="00177900"/>
    <w:rsid w:val="00194AF7"/>
    <w:rsid w:val="00196C27"/>
    <w:rsid w:val="001A328C"/>
    <w:rsid w:val="001B4A16"/>
    <w:rsid w:val="001C0D23"/>
    <w:rsid w:val="001C3E0D"/>
    <w:rsid w:val="001D6E6E"/>
    <w:rsid w:val="001E0465"/>
    <w:rsid w:val="001F6BF6"/>
    <w:rsid w:val="00213AE2"/>
    <w:rsid w:val="002145DF"/>
    <w:rsid w:val="002246F3"/>
    <w:rsid w:val="00233DAC"/>
    <w:rsid w:val="00252D9B"/>
    <w:rsid w:val="00265E24"/>
    <w:rsid w:val="00276A17"/>
    <w:rsid w:val="002875CD"/>
    <w:rsid w:val="00287B10"/>
    <w:rsid w:val="002A26F9"/>
    <w:rsid w:val="002A7AA0"/>
    <w:rsid w:val="002B00EB"/>
    <w:rsid w:val="002B3307"/>
    <w:rsid w:val="002B60B4"/>
    <w:rsid w:val="002C12F6"/>
    <w:rsid w:val="002F53FA"/>
    <w:rsid w:val="002F5D80"/>
    <w:rsid w:val="00304E8E"/>
    <w:rsid w:val="0031170F"/>
    <w:rsid w:val="00324CB9"/>
    <w:rsid w:val="0033652F"/>
    <w:rsid w:val="00341F55"/>
    <w:rsid w:val="0035264F"/>
    <w:rsid w:val="003536CE"/>
    <w:rsid w:val="003602E9"/>
    <w:rsid w:val="00366FF6"/>
    <w:rsid w:val="00377D8D"/>
    <w:rsid w:val="003825CC"/>
    <w:rsid w:val="0039752D"/>
    <w:rsid w:val="003C7078"/>
    <w:rsid w:val="003D1B72"/>
    <w:rsid w:val="003E6541"/>
    <w:rsid w:val="003F05BD"/>
    <w:rsid w:val="004258CB"/>
    <w:rsid w:val="0043787C"/>
    <w:rsid w:val="00466045"/>
    <w:rsid w:val="0047213F"/>
    <w:rsid w:val="00475839"/>
    <w:rsid w:val="00476865"/>
    <w:rsid w:val="00477C1C"/>
    <w:rsid w:val="004A216E"/>
    <w:rsid w:val="004B1378"/>
    <w:rsid w:val="004C1957"/>
    <w:rsid w:val="004C3BD6"/>
    <w:rsid w:val="004D0B20"/>
    <w:rsid w:val="004D634E"/>
    <w:rsid w:val="004D7343"/>
    <w:rsid w:val="004E6B18"/>
    <w:rsid w:val="0052428A"/>
    <w:rsid w:val="00527266"/>
    <w:rsid w:val="00531437"/>
    <w:rsid w:val="00533864"/>
    <w:rsid w:val="00541E51"/>
    <w:rsid w:val="00544B09"/>
    <w:rsid w:val="00560BA3"/>
    <w:rsid w:val="00566C28"/>
    <w:rsid w:val="005840DE"/>
    <w:rsid w:val="00592978"/>
    <w:rsid w:val="00597B06"/>
    <w:rsid w:val="005A64D7"/>
    <w:rsid w:val="005A7854"/>
    <w:rsid w:val="005C0587"/>
    <w:rsid w:val="005D0FE8"/>
    <w:rsid w:val="005D6B3C"/>
    <w:rsid w:val="005D7FB6"/>
    <w:rsid w:val="0060092C"/>
    <w:rsid w:val="00602BF3"/>
    <w:rsid w:val="00604C3D"/>
    <w:rsid w:val="00612917"/>
    <w:rsid w:val="006221ED"/>
    <w:rsid w:val="00622617"/>
    <w:rsid w:val="00625100"/>
    <w:rsid w:val="00625798"/>
    <w:rsid w:val="00644216"/>
    <w:rsid w:val="006558B0"/>
    <w:rsid w:val="006818C7"/>
    <w:rsid w:val="00683D4E"/>
    <w:rsid w:val="00684005"/>
    <w:rsid w:val="00687015"/>
    <w:rsid w:val="00695064"/>
    <w:rsid w:val="006A4116"/>
    <w:rsid w:val="006B2D83"/>
    <w:rsid w:val="006E23FE"/>
    <w:rsid w:val="006E360F"/>
    <w:rsid w:val="006E522C"/>
    <w:rsid w:val="006F6DB6"/>
    <w:rsid w:val="00715F44"/>
    <w:rsid w:val="007208D8"/>
    <w:rsid w:val="0072112B"/>
    <w:rsid w:val="007248D8"/>
    <w:rsid w:val="00732BBF"/>
    <w:rsid w:val="00754983"/>
    <w:rsid w:val="00765F02"/>
    <w:rsid w:val="00767A11"/>
    <w:rsid w:val="00773B83"/>
    <w:rsid w:val="00773ED5"/>
    <w:rsid w:val="00782E57"/>
    <w:rsid w:val="00792A66"/>
    <w:rsid w:val="00794A4B"/>
    <w:rsid w:val="0079678C"/>
    <w:rsid w:val="00797CAD"/>
    <w:rsid w:val="007B1929"/>
    <w:rsid w:val="007D1BEB"/>
    <w:rsid w:val="007E1398"/>
    <w:rsid w:val="00807F21"/>
    <w:rsid w:val="00813076"/>
    <w:rsid w:val="00813135"/>
    <w:rsid w:val="00816FA8"/>
    <w:rsid w:val="00817322"/>
    <w:rsid w:val="008174EC"/>
    <w:rsid w:val="00830C22"/>
    <w:rsid w:val="00834D4E"/>
    <w:rsid w:val="0084284F"/>
    <w:rsid w:val="00893669"/>
    <w:rsid w:val="00893A79"/>
    <w:rsid w:val="008D09C3"/>
    <w:rsid w:val="008E02B1"/>
    <w:rsid w:val="008F6CB2"/>
    <w:rsid w:val="00900B5B"/>
    <w:rsid w:val="00910840"/>
    <w:rsid w:val="00923987"/>
    <w:rsid w:val="00934022"/>
    <w:rsid w:val="00936E3A"/>
    <w:rsid w:val="00950173"/>
    <w:rsid w:val="00964A65"/>
    <w:rsid w:val="009752A3"/>
    <w:rsid w:val="009A112F"/>
    <w:rsid w:val="009A5DA3"/>
    <w:rsid w:val="009B1EE1"/>
    <w:rsid w:val="009C16CA"/>
    <w:rsid w:val="009C3093"/>
    <w:rsid w:val="009C4943"/>
    <w:rsid w:val="009C4FAD"/>
    <w:rsid w:val="009D2F69"/>
    <w:rsid w:val="009E18E5"/>
    <w:rsid w:val="009E3961"/>
    <w:rsid w:val="009E55FB"/>
    <w:rsid w:val="00A07E62"/>
    <w:rsid w:val="00A17DAF"/>
    <w:rsid w:val="00A45F3D"/>
    <w:rsid w:val="00AE36B3"/>
    <w:rsid w:val="00B04330"/>
    <w:rsid w:val="00B10BA3"/>
    <w:rsid w:val="00B15569"/>
    <w:rsid w:val="00B22B78"/>
    <w:rsid w:val="00B259C2"/>
    <w:rsid w:val="00B2761A"/>
    <w:rsid w:val="00B277F1"/>
    <w:rsid w:val="00B40C60"/>
    <w:rsid w:val="00B411C1"/>
    <w:rsid w:val="00B42768"/>
    <w:rsid w:val="00B50988"/>
    <w:rsid w:val="00B61E6C"/>
    <w:rsid w:val="00B83305"/>
    <w:rsid w:val="00B83C50"/>
    <w:rsid w:val="00B922EE"/>
    <w:rsid w:val="00BA1A6A"/>
    <w:rsid w:val="00BA283D"/>
    <w:rsid w:val="00BC0E31"/>
    <w:rsid w:val="00BD3F8C"/>
    <w:rsid w:val="00BE3D30"/>
    <w:rsid w:val="00BF2ED0"/>
    <w:rsid w:val="00BF449D"/>
    <w:rsid w:val="00BF52F0"/>
    <w:rsid w:val="00C22EE2"/>
    <w:rsid w:val="00C34730"/>
    <w:rsid w:val="00C35629"/>
    <w:rsid w:val="00C5036B"/>
    <w:rsid w:val="00C5775B"/>
    <w:rsid w:val="00C62D24"/>
    <w:rsid w:val="00C74B22"/>
    <w:rsid w:val="00C77A58"/>
    <w:rsid w:val="00C816ED"/>
    <w:rsid w:val="00CB66C9"/>
    <w:rsid w:val="00CC27A5"/>
    <w:rsid w:val="00CF012D"/>
    <w:rsid w:val="00CF2AD2"/>
    <w:rsid w:val="00D0241B"/>
    <w:rsid w:val="00D13321"/>
    <w:rsid w:val="00D224CD"/>
    <w:rsid w:val="00D229B8"/>
    <w:rsid w:val="00D238F9"/>
    <w:rsid w:val="00D35D15"/>
    <w:rsid w:val="00D55479"/>
    <w:rsid w:val="00D82D48"/>
    <w:rsid w:val="00D83A9B"/>
    <w:rsid w:val="00DA21BD"/>
    <w:rsid w:val="00DA5092"/>
    <w:rsid w:val="00DD2693"/>
    <w:rsid w:val="00DD5D79"/>
    <w:rsid w:val="00DE5628"/>
    <w:rsid w:val="00DF2F08"/>
    <w:rsid w:val="00E042A2"/>
    <w:rsid w:val="00E16116"/>
    <w:rsid w:val="00E2510D"/>
    <w:rsid w:val="00E32231"/>
    <w:rsid w:val="00E3353D"/>
    <w:rsid w:val="00E33710"/>
    <w:rsid w:val="00E46A23"/>
    <w:rsid w:val="00E5514C"/>
    <w:rsid w:val="00E62569"/>
    <w:rsid w:val="00E62993"/>
    <w:rsid w:val="00E62C41"/>
    <w:rsid w:val="00E70757"/>
    <w:rsid w:val="00E95E3E"/>
    <w:rsid w:val="00EA59C1"/>
    <w:rsid w:val="00EA61B0"/>
    <w:rsid w:val="00EC6D54"/>
    <w:rsid w:val="00ED6BB7"/>
    <w:rsid w:val="00F155EC"/>
    <w:rsid w:val="00F17267"/>
    <w:rsid w:val="00F26CE7"/>
    <w:rsid w:val="00F668A5"/>
    <w:rsid w:val="00F75652"/>
    <w:rsid w:val="00F758F5"/>
    <w:rsid w:val="00F83161"/>
    <w:rsid w:val="00F91CF6"/>
    <w:rsid w:val="00F92418"/>
    <w:rsid w:val="00F97640"/>
    <w:rsid w:val="00FA1623"/>
    <w:rsid w:val="00FB50F2"/>
    <w:rsid w:val="00FB6A2F"/>
    <w:rsid w:val="00FC7D3D"/>
    <w:rsid w:val="00F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1BE9"/>
  <w15:docId w15:val="{4D498896-F577-460F-880E-66A73682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B1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428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rsid w:val="007B1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Strong"/>
    <w:basedOn w:val="a1"/>
    <w:uiPriority w:val="22"/>
    <w:qFormat/>
    <w:rsid w:val="007B1929"/>
    <w:rPr>
      <w:b/>
      <w:bCs/>
    </w:rPr>
  </w:style>
  <w:style w:type="paragraph" w:styleId="a5">
    <w:name w:val="List Paragraph"/>
    <w:basedOn w:val="a0"/>
    <w:uiPriority w:val="34"/>
    <w:qFormat/>
    <w:rsid w:val="00807F21"/>
    <w:pPr>
      <w:ind w:left="720"/>
      <w:contextualSpacing/>
    </w:pPr>
  </w:style>
  <w:style w:type="paragraph" w:customStyle="1" w:styleId="ConsNonformat">
    <w:name w:val="ConsNonformat"/>
    <w:rsid w:val="00B833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0"/>
    <w:uiPriority w:val="99"/>
    <w:unhideWhenUsed/>
    <w:rsid w:val="0033652F"/>
    <w:pPr>
      <w:spacing w:before="100" w:beforeAutospacing="1" w:after="100" w:afterAutospacing="1"/>
    </w:pPr>
  </w:style>
  <w:style w:type="paragraph" w:styleId="a7">
    <w:name w:val="Balloon Text"/>
    <w:basedOn w:val="a0"/>
    <w:link w:val="a8"/>
    <w:uiPriority w:val="99"/>
    <w:semiHidden/>
    <w:unhideWhenUsed/>
    <w:rsid w:val="00544B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44B0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3E6541"/>
    <w:rPr>
      <w:color w:val="0000FF"/>
      <w:u w:val="single"/>
    </w:rPr>
  </w:style>
  <w:style w:type="paragraph" w:customStyle="1" w:styleId="ConsPlusNormal">
    <w:name w:val="ConsPlusNormal"/>
    <w:link w:val="ConsPlusNormal0"/>
    <w:rsid w:val="006E2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23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0"/>
    <w:rsid w:val="00287B10"/>
    <w:pPr>
      <w:jc w:val="both"/>
    </w:pPr>
    <w:rPr>
      <w:rFonts w:ascii="Baltica" w:hAnsi="Baltica"/>
      <w:sz w:val="28"/>
      <w:szCs w:val="20"/>
      <w:lang w:val="en-US"/>
    </w:rPr>
  </w:style>
  <w:style w:type="character" w:customStyle="1" w:styleId="aa">
    <w:name w:val="Основной текст_"/>
    <w:link w:val="3"/>
    <w:rsid w:val="00D1332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D13321"/>
    <w:pPr>
      <w:widowControl w:val="0"/>
      <w:shd w:val="clear" w:color="auto" w:fill="FFFFFF"/>
      <w:spacing w:before="240" w:line="26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fontstyle01">
    <w:name w:val="fontstyle01"/>
    <w:rsid w:val="00E042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basedOn w:val="a0"/>
    <w:next w:val="a6"/>
    <w:uiPriority w:val="99"/>
    <w:rsid w:val="00622617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8428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c">
    <w:name w:val="Основной"/>
    <w:basedOn w:val="a0"/>
    <w:link w:val="ad"/>
    <w:qFormat/>
    <w:rsid w:val="0084284F"/>
    <w:pPr>
      <w:spacing w:line="360" w:lineRule="auto"/>
      <w:ind w:firstLine="851"/>
      <w:jc w:val="both"/>
    </w:pPr>
    <w:rPr>
      <w:rFonts w:eastAsia="Calibri"/>
      <w:sz w:val="28"/>
      <w:szCs w:val="28"/>
      <w:lang w:eastAsia="en-US"/>
    </w:rPr>
  </w:style>
  <w:style w:type="character" w:customStyle="1" w:styleId="ad">
    <w:name w:val="Основной Знак"/>
    <w:link w:val="ac"/>
    <w:rsid w:val="0084284F"/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Марк"/>
    <w:basedOn w:val="ac"/>
    <w:link w:val="ae"/>
    <w:qFormat/>
    <w:rsid w:val="0084284F"/>
    <w:pPr>
      <w:numPr>
        <w:numId w:val="28"/>
      </w:numPr>
    </w:pPr>
  </w:style>
  <w:style w:type="character" w:customStyle="1" w:styleId="ae">
    <w:name w:val="Марк Знак"/>
    <w:basedOn w:val="ad"/>
    <w:link w:val="a"/>
    <w:rsid w:val="0084284F"/>
    <w:rPr>
      <w:rFonts w:ascii="Times New Roman" w:eastAsia="Calibri" w:hAnsi="Times New Roman" w:cs="Times New Roman"/>
      <w:sz w:val="28"/>
      <w:szCs w:val="28"/>
    </w:rPr>
  </w:style>
  <w:style w:type="paragraph" w:styleId="af">
    <w:name w:val="Body Text"/>
    <w:basedOn w:val="a0"/>
    <w:link w:val="af0"/>
    <w:uiPriority w:val="1"/>
    <w:qFormat/>
    <w:rsid w:val="0084284F"/>
    <w:pPr>
      <w:widowControl w:val="0"/>
      <w:ind w:left="102" w:firstLine="707"/>
      <w:jc w:val="both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1"/>
    <w:link w:val="af"/>
    <w:uiPriority w:val="1"/>
    <w:rsid w:val="0084284F"/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footnote reference"/>
    <w:uiPriority w:val="99"/>
    <w:unhideWhenUsed/>
    <w:rsid w:val="00842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u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5E04-17BA-4464-9353-4D1301DA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mo49</cp:lastModifiedBy>
  <cp:revision>23</cp:revision>
  <cp:lastPrinted>2026-05-04T08:50:00Z</cp:lastPrinted>
  <dcterms:created xsi:type="dcterms:W3CDTF">2026-05-04T06:14:00Z</dcterms:created>
  <dcterms:modified xsi:type="dcterms:W3CDTF">2026-05-04T11:10:00Z</dcterms:modified>
</cp:coreProperties>
</file>