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C93DD9" w:rsidP="00775572">
      <w:pPr>
        <w:pStyle w:val="a3"/>
        <w:spacing w:after="0"/>
        <w:jc w:val="center"/>
        <w:rPr>
          <w:b/>
        </w:rPr>
      </w:pPr>
      <w:r>
        <w:rPr>
          <w:b/>
        </w:rPr>
        <w:t>19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F615AA" w:rsidRPr="00F615AA" w:rsidRDefault="00F615AA" w:rsidP="00F615AA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F615AA">
        <w:rPr>
          <w:rFonts w:ascii="Tms Rmn" w:hAnsi="Tms Rmn" w:cs="Tms Rmn"/>
          <w:b/>
          <w:bCs/>
          <w:color w:val="000000"/>
          <w:lang w:eastAsia="ru-RU"/>
        </w:rPr>
        <w:t>Беспрепятственный доступ к услугам ПФР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Одним из важных направлений работы Пенсионного фонда является повышение уровня обслуживания граждан, в том числе маломобильных групп населения. В Санкт-Петербурге и Ленинградской области более 140 тысяч человек получают страховую и социальную пенсии по инвалидности. Таким людям нужно особое внимание и подход.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реализации беспрепятственного доступа к услугам ПФР предусмотрен прием людей с ограниченными возможностями вне очереди, при необходимости возможен выезд специалиста ПФР на дом (выезд осуществляется по предварительной просьбе в индивидуальном порядке).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Ленинградской области, в том числе для обслуживания маломобильных групп населения реализована возможность выезда мобильной клиентской службы (</w:t>
      </w:r>
      <w:hyperlink r:id="rId8" w:history="1">
        <w:r>
          <w:rPr>
            <w:rFonts w:ascii="Tms Rmn" w:hAnsi="Tms Rmn" w:cs="Tms Rmn"/>
            <w:color w:val="0000FF"/>
            <w:u w:val="single"/>
            <w:lang w:eastAsia="ru-RU"/>
          </w:rPr>
          <w:t xml:space="preserve">график работы </w:t>
        </w:r>
      </w:hyperlink>
      <w:r>
        <w:rPr>
          <w:rFonts w:ascii="Tms Rmn" w:hAnsi="Tms Rmn" w:cs="Tms Rmn"/>
          <w:color w:val="000000"/>
          <w:lang w:eastAsia="ru-RU"/>
        </w:rPr>
        <w:t>опубликован на официальном сайте Пенсионного фонда).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Как человеку в инвалидной коляске можно беспрепятственно обратиться к специалисту в клиентскую службу ПФР?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максимального удобства посетителей с ограниченными возможностями все клиентские службы территориальных органов ПФР расположены на первом этаже зданий и оборудованы системой вызова специалиста на входе. Лестницы дублируются пандусами и другими средствами подъема.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Чем оснащены клиентские залы для тех, кто плохо слышит и видит?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слабовидящих граждан клиентские залы оборудованы тактильными полосами, на наружных лестницах предусмотрены антискользящие покрытия. Вывески с названием и графиком работы дублируются шрифтом Брайля. Для слабослышащих посетителей зал ожидания оборудован «электронной очередью» с дублированием  голосовой информации бегущей строкой на табло.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  <w:r>
        <w:rPr>
          <w:rFonts w:ascii="Tms Rmn" w:hAnsi="Tms Rmn" w:cs="Tms Rmn"/>
          <w:b/>
          <w:bCs/>
          <w:color w:val="000000"/>
          <w:lang w:eastAsia="ru-RU"/>
        </w:rPr>
        <w:t>Может ли слабовидящий человек пользоваться сайтом Пенсионного фонда?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Читать информацию на сайте Пенсионного фонда России могут и люди со слабым зрением. ПФР разработал специальную версию официального ресурса (</w:t>
      </w:r>
      <w:r>
        <w:rPr>
          <w:rFonts w:ascii="Arial" w:hAnsi="Arial" w:cs="Arial"/>
          <w:color w:val="000000"/>
          <w:lang w:eastAsia="ru-RU"/>
        </w:rPr>
        <w:t>для этого нужно открыть меню в верхнем левом углу страницы сайта, обозначенное двойной буквой "А")</w:t>
      </w:r>
      <w:r>
        <w:rPr>
          <w:rFonts w:ascii="Tms Rmn" w:hAnsi="Tms Rmn" w:cs="Tms Rmn"/>
          <w:color w:val="000000"/>
          <w:lang w:eastAsia="ru-RU"/>
        </w:rPr>
        <w:t>. Она дублирует информацию, но отличается специальными настройками. На странице можно увеличить шрифт, изменить его цвет и фон, воспользоваться функциями звукового ассистента, который позволит озвучить любую размещенную текстовую информацию.</w:t>
      </w:r>
    </w:p>
    <w:p w:rsidR="00F615AA" w:rsidRDefault="00F615AA" w:rsidP="00F615A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Стоить отметить, что большинство государственных услуг, предоставляемых Пенсионным фондом, можно получить без личного визита в клиентскую службу ПФР, что способствует социальной адаптации людей с ограниченными возможностями в обществе. Для этого можно воспользоваться услугами электронного сервиса ПФР </w:t>
      </w:r>
      <w:hyperlink r:id="rId9" w:history="1">
        <w:r>
          <w:rPr>
            <w:rFonts w:ascii="Tms Rmn" w:hAnsi="Tms Rmn" w:cs="Tms Rmn"/>
            <w:color w:val="0000FF"/>
            <w:u w:val="single"/>
            <w:lang w:eastAsia="ru-RU"/>
          </w:rPr>
          <w:t>«Личный кабинет гражданина»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4F2159" w:rsidRPr="00773AF9" w:rsidRDefault="004F2159" w:rsidP="00F615A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sectPr w:rsidR="004F2159" w:rsidRPr="00773AF9" w:rsidSect="00D67713">
      <w:headerReference w:type="default" r:id="rId10"/>
      <w:footerReference w:type="default" r:id="rId11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F3" w:rsidRDefault="006847F3">
      <w:r>
        <w:separator/>
      </w:r>
    </w:p>
  </w:endnote>
  <w:endnote w:type="continuationSeparator" w:id="0">
    <w:p w:rsidR="006847F3" w:rsidRDefault="0068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C798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F3" w:rsidRDefault="006847F3">
      <w:r>
        <w:separator/>
      </w:r>
    </w:p>
  </w:footnote>
  <w:footnote w:type="continuationSeparator" w:id="0">
    <w:p w:rsidR="006847F3" w:rsidRDefault="0068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C798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A75E4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47F3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3AF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6DB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1EF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3DD9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98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15AA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/#services-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D6E1-B3E0-48EC-A6B0-36D9DAF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2018-10-19T11:36:00Z</cp:lastPrinted>
  <dcterms:created xsi:type="dcterms:W3CDTF">2018-10-19T11:36:00Z</dcterms:created>
  <dcterms:modified xsi:type="dcterms:W3CDTF">2018-10-19T11:36:00Z</dcterms:modified>
</cp:coreProperties>
</file>