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E4DB8" w:rsidRPr="00904467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1280"/>
      </w:tblGrid>
      <w:tr w:rsidR="00967909" w:rsidRPr="00904467" w:rsidTr="001E3534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E4DB8" w:rsidRDefault="00B672E7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Юрий Николаевич</w:t>
            </w:r>
            <w:r w:rsidR="00967909" w:rsidRPr="009E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B672E7" w:rsidRDefault="00910A4E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40810810755009004068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9E4DB8" w:rsidRDefault="00910A4E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0A4E">
              <w:rPr>
                <w:rFonts w:ascii="Times New Roman" w:hAnsi="Times New Roman" w:cs="Times New Roman"/>
                <w:i/>
              </w:rPr>
              <w:t>ПАО Сбербанк Северо-Западный Банк ПАО, дополнительный офис № 9055/0529</w:t>
            </w:r>
          </w:p>
        </w:tc>
      </w:tr>
      <w:tr w:rsidR="00967909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63696C" w:rsidP="00910A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</w:t>
            </w:r>
            <w:r w:rsidR="001E353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0A4E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.09.201</w:t>
            </w:r>
            <w:r w:rsidR="00910A4E">
              <w:rPr>
                <w:rFonts w:ascii="Times New Roman" w:hAnsi="Times New Roman" w:cs="Times New Roman"/>
                <w:sz w:val="20"/>
              </w:rPr>
              <w:t>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1E3534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E3534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6060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E3534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  <w:r w:rsidR="00FA63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E3534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  <w:r w:rsidR="00F6060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10A4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9 000</w:t>
            </w:r>
            <w:r w:rsidR="0063696C" w:rsidRPr="006369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10A4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FA63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10A4E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10A4E" w:rsidP="00910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1E3534"/>
    <w:rsid w:val="0050270F"/>
    <w:rsid w:val="005103E5"/>
    <w:rsid w:val="0063696C"/>
    <w:rsid w:val="00730A4D"/>
    <w:rsid w:val="008B50EC"/>
    <w:rsid w:val="00904467"/>
    <w:rsid w:val="00910A4E"/>
    <w:rsid w:val="00967909"/>
    <w:rsid w:val="009E4DB8"/>
    <w:rsid w:val="00B672E7"/>
    <w:rsid w:val="00E86014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Игорь Сучилин</cp:lastModifiedBy>
  <cp:revision>3</cp:revision>
  <cp:lastPrinted>2019-10-03T12:55:00Z</cp:lastPrinted>
  <dcterms:created xsi:type="dcterms:W3CDTF">2019-10-03T12:55:00Z</dcterms:created>
  <dcterms:modified xsi:type="dcterms:W3CDTF">2019-10-10T12:03:00Z</dcterms:modified>
</cp:coreProperties>
</file>