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18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 w:rsidR="00304723">
        <w:rPr>
          <w:b/>
          <w:bCs/>
          <w:color w:val="000000"/>
          <w:lang w:eastAsia="ru-RU"/>
        </w:rPr>
        <w:t>октября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753F73">
        <w:rPr>
          <w:b/>
          <w:bCs/>
          <w:color w:val="000000"/>
          <w:lang w:eastAsia="ru-RU"/>
        </w:rPr>
        <w:t>Информация для клиентов управляющей компании «</w:t>
      </w:r>
      <w:proofErr w:type="spellStart"/>
      <w:r w:rsidRPr="00753F73">
        <w:rPr>
          <w:b/>
          <w:bCs/>
          <w:color w:val="000000"/>
          <w:lang w:eastAsia="ru-RU"/>
        </w:rPr>
        <w:t>Капиталъ</w:t>
      </w:r>
      <w:proofErr w:type="spellEnd"/>
      <w:r w:rsidRPr="00753F73">
        <w:rPr>
          <w:b/>
          <w:bCs/>
          <w:color w:val="000000"/>
          <w:lang w:eastAsia="ru-RU"/>
        </w:rPr>
        <w:t xml:space="preserve">» </w:t>
      </w: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753F73">
        <w:rPr>
          <w:bCs/>
          <w:color w:val="000000"/>
          <w:lang w:eastAsia="ru-RU"/>
        </w:rPr>
        <w:t>Пенсионный фонд России сообщает, что 30 июля 2019 года прекратил действие договор доверительного управления средствами пенсионных накоплений между Пенсионным фондом Росс</w:t>
      </w:r>
      <w:proofErr w:type="gramStart"/>
      <w:r w:rsidRPr="00753F73">
        <w:rPr>
          <w:bCs/>
          <w:color w:val="000000"/>
          <w:lang w:eastAsia="ru-RU"/>
        </w:rPr>
        <w:t>ии и ООО</w:t>
      </w:r>
      <w:proofErr w:type="gramEnd"/>
      <w:r w:rsidRPr="00753F73">
        <w:rPr>
          <w:bCs/>
          <w:color w:val="000000"/>
          <w:lang w:eastAsia="ru-RU"/>
        </w:rPr>
        <w:t xml:space="preserve"> «Управляющая компания „</w:t>
      </w:r>
      <w:proofErr w:type="spellStart"/>
      <w:r w:rsidRPr="00753F73">
        <w:rPr>
          <w:bCs/>
          <w:color w:val="000000"/>
          <w:lang w:eastAsia="ru-RU"/>
        </w:rPr>
        <w:t>Капиталъ</w:t>
      </w:r>
      <w:proofErr w:type="spellEnd"/>
      <w:r w:rsidRPr="00753F73">
        <w:rPr>
          <w:bCs/>
          <w:color w:val="000000"/>
          <w:lang w:eastAsia="ru-RU"/>
        </w:rPr>
        <w:t xml:space="preserve">“», заключенный 8 октября 2003 года (№ 22-03У019). </w:t>
      </w: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753F73">
        <w:rPr>
          <w:bCs/>
          <w:color w:val="000000"/>
          <w:lang w:eastAsia="ru-RU"/>
        </w:rPr>
        <w:t>Компания «</w:t>
      </w:r>
      <w:proofErr w:type="spellStart"/>
      <w:r w:rsidRPr="00753F73">
        <w:rPr>
          <w:bCs/>
          <w:color w:val="000000"/>
          <w:lang w:eastAsia="ru-RU"/>
        </w:rPr>
        <w:t>Капиталъ</w:t>
      </w:r>
      <w:proofErr w:type="spellEnd"/>
      <w:r w:rsidRPr="00753F73">
        <w:rPr>
          <w:bCs/>
          <w:color w:val="000000"/>
          <w:lang w:eastAsia="ru-RU"/>
        </w:rPr>
        <w:t xml:space="preserve">» управляла пенсионными накоплениями 32,7 тыс. застрахованных лиц. Их средства с учетом дохода от инвестирования, полученного за 2019 год, переданы в расширенный инвестиционный портфель государственной управляющей компании ВЭБ.РФ. Страховщиком застрахованных лиц по-прежнему остается Пенсионный фонд России. </w:t>
      </w: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753F73">
        <w:rPr>
          <w:bCs/>
          <w:color w:val="000000"/>
          <w:lang w:eastAsia="ru-RU"/>
        </w:rPr>
        <w:t>Бывшие клиенты УК «</w:t>
      </w:r>
      <w:proofErr w:type="spellStart"/>
      <w:r w:rsidRPr="00753F73">
        <w:rPr>
          <w:bCs/>
          <w:color w:val="000000"/>
          <w:lang w:eastAsia="ru-RU"/>
        </w:rPr>
        <w:t>Капиталъ</w:t>
      </w:r>
      <w:proofErr w:type="spellEnd"/>
      <w:r w:rsidRPr="00753F73">
        <w:rPr>
          <w:bCs/>
          <w:color w:val="000000"/>
          <w:lang w:eastAsia="ru-RU"/>
        </w:rPr>
        <w:t xml:space="preserve">» могут выбрать новую управляющую компанию или сменить пенсионный фонд, формирующий их пенсионные накопления. Для этого необходимо подать заявление в Пенсионный фонд России. Сделать это можно в клиентской службе ПФР, обратившись лично, или через электронный кабинет на портале </w:t>
      </w:r>
      <w:proofErr w:type="spellStart"/>
      <w:r w:rsidRPr="00753F73">
        <w:rPr>
          <w:bCs/>
          <w:color w:val="000000"/>
          <w:lang w:eastAsia="ru-RU"/>
        </w:rPr>
        <w:t>Госуслуг</w:t>
      </w:r>
      <w:proofErr w:type="spellEnd"/>
      <w:r w:rsidRPr="00753F73">
        <w:rPr>
          <w:bCs/>
          <w:color w:val="000000"/>
          <w:lang w:eastAsia="ru-RU"/>
        </w:rPr>
        <w:t xml:space="preserve">. </w:t>
      </w:r>
    </w:p>
    <w:p w:rsidR="00753F73" w:rsidRPr="00753F73" w:rsidRDefault="00753F73" w:rsidP="00753F7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83F54" w:rsidRPr="00753F73" w:rsidRDefault="00753F73" w:rsidP="00753F7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Pr="00753F73">
        <w:rPr>
          <w:bCs/>
          <w:color w:val="000000"/>
          <w:lang w:eastAsia="ru-RU"/>
        </w:rPr>
        <w:t>В случае выбора новой управляющей компании или инвестиционного портфеля, для граждан, формировавших пенсионные накопления в управляющей компании «</w:t>
      </w:r>
      <w:proofErr w:type="spellStart"/>
      <w:r w:rsidRPr="00753F73">
        <w:rPr>
          <w:bCs/>
          <w:color w:val="000000"/>
          <w:lang w:eastAsia="ru-RU"/>
        </w:rPr>
        <w:t>Капиталъ</w:t>
      </w:r>
      <w:proofErr w:type="spellEnd"/>
      <w:r w:rsidRPr="00753F73">
        <w:rPr>
          <w:bCs/>
          <w:color w:val="000000"/>
          <w:lang w:eastAsia="ru-RU"/>
        </w:rPr>
        <w:t>», потери инвестиционного дохода не произойдет.</w:t>
      </w:r>
    </w:p>
    <w:sectPr w:rsidR="00583F54" w:rsidRPr="00753F73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DE" w:rsidRDefault="00DF0ADE">
      <w:r>
        <w:separator/>
      </w:r>
    </w:p>
  </w:endnote>
  <w:endnote w:type="continuationSeparator" w:id="0">
    <w:p w:rsidR="00DF0ADE" w:rsidRDefault="00DF0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DE" w:rsidRDefault="00DF0ADE">
      <w:r>
        <w:separator/>
      </w:r>
    </w:p>
  </w:footnote>
  <w:footnote w:type="continuationSeparator" w:id="0">
    <w:p w:rsidR="00DF0ADE" w:rsidRDefault="00DF0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</w:num>
  <w:num w:numId="8">
    <w:abstractNumId w:val="29"/>
  </w:num>
  <w:num w:numId="9">
    <w:abstractNumId w:val="2"/>
  </w:num>
  <w:num w:numId="10">
    <w:abstractNumId w:val="25"/>
  </w:num>
  <w:num w:numId="11">
    <w:abstractNumId w:val="18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10"/>
  </w:num>
  <w:num w:numId="20">
    <w:abstractNumId w:val="17"/>
  </w:num>
  <w:num w:numId="21">
    <w:abstractNumId w:val="23"/>
  </w:num>
  <w:num w:numId="22">
    <w:abstractNumId w:val="14"/>
  </w:num>
  <w:num w:numId="23">
    <w:abstractNumId w:val="27"/>
  </w:num>
  <w:num w:numId="24">
    <w:abstractNumId w:val="36"/>
  </w:num>
  <w:num w:numId="25">
    <w:abstractNumId w:val="22"/>
  </w:num>
  <w:num w:numId="26">
    <w:abstractNumId w:val="5"/>
  </w:num>
  <w:num w:numId="27">
    <w:abstractNumId w:val="19"/>
  </w:num>
  <w:num w:numId="28">
    <w:abstractNumId w:val="34"/>
  </w:num>
  <w:num w:numId="29">
    <w:abstractNumId w:val="11"/>
  </w:num>
  <w:num w:numId="30">
    <w:abstractNumId w:val="33"/>
  </w:num>
  <w:num w:numId="31">
    <w:abstractNumId w:val="30"/>
  </w:num>
  <w:num w:numId="32">
    <w:abstractNumId w:val="6"/>
  </w:num>
  <w:num w:numId="33">
    <w:abstractNumId w:val="20"/>
  </w:num>
  <w:num w:numId="34">
    <w:abstractNumId w:val="28"/>
  </w:num>
  <w:num w:numId="35">
    <w:abstractNumId w:val="24"/>
  </w:num>
  <w:num w:numId="36">
    <w:abstractNumId w:val="35"/>
  </w:num>
  <w:num w:numId="37">
    <w:abstractNumId w:val="32"/>
  </w:num>
  <w:num w:numId="38">
    <w:abstractNumId w:val="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3F73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0ADE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837C-C940-488E-AE03-BF9C0438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2019-10-18T13:55:00Z</dcterms:created>
  <dcterms:modified xsi:type="dcterms:W3CDTF">2019-10-18T13:55:00Z</dcterms:modified>
</cp:coreProperties>
</file>