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DBC" w:rsidRDefault="003D3DB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3D3DBC" w:rsidRDefault="00CD0C2A">
      <w:pPr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9251950" cy="23272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BC" w:rsidRDefault="003D3DBC">
      <w:pPr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</w:p>
    <w:p w:rsidR="003D3DBC" w:rsidRDefault="003D3DBC">
      <w:pPr>
        <w:spacing w:after="0" w:line="240" w:lineRule="auto"/>
        <w:rPr>
          <w:rFonts w:cs="Calibri"/>
          <w:color w:val="1C1C1C"/>
          <w:sz w:val="32"/>
          <w:szCs w:val="32"/>
        </w:rPr>
      </w:pPr>
    </w:p>
    <w:p w:rsidR="003D3DBC" w:rsidRDefault="00CD0C2A">
      <w:pPr>
        <w:spacing w:after="0" w:line="240" w:lineRule="auto"/>
        <w:rPr>
          <w:rFonts w:cs="Calibri"/>
          <w:color w:val="1C1C1C"/>
          <w:sz w:val="84"/>
          <w:szCs w:val="84"/>
        </w:rPr>
      </w:pPr>
      <w:r>
        <w:rPr>
          <w:rFonts w:cs="Calibri"/>
          <w:color w:val="1C1C1C"/>
          <w:sz w:val="84"/>
          <w:szCs w:val="84"/>
        </w:rPr>
        <w:t>БЮДЖЕТ ДЛЯ ГРАЖДАН НА 2022ГОД</w:t>
      </w:r>
    </w:p>
    <w:p w:rsidR="003D3DBC" w:rsidRDefault="003D3DBC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D3DBC" w:rsidRDefault="00CD0C2A">
      <w:pPr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>
        <w:rPr>
          <w:rFonts w:cs="Calibri"/>
          <w:color w:val="333333"/>
          <w:sz w:val="74"/>
          <w:szCs w:val="74"/>
        </w:rPr>
        <w:t>Внутригородское муниципальное</w:t>
      </w:r>
    </w:p>
    <w:p w:rsidR="003D3DBC" w:rsidRDefault="00CD0C2A">
      <w:pPr>
        <w:spacing w:after="0" w:line="240" w:lineRule="auto"/>
        <w:rPr>
          <w:rFonts w:ascii="Calibri" w:hAnsi="Calibri" w:cs="Calibri"/>
          <w:color w:val="333333"/>
          <w:sz w:val="74"/>
          <w:szCs w:val="74"/>
        </w:rPr>
      </w:pPr>
      <w:r>
        <w:rPr>
          <w:rFonts w:cs="Calibri"/>
          <w:color w:val="333333"/>
          <w:sz w:val="74"/>
          <w:szCs w:val="74"/>
        </w:rPr>
        <w:t>образование города федерального значения Санкт-Петербурга</w:t>
      </w:r>
    </w:p>
    <w:p w:rsidR="003D3DBC" w:rsidRDefault="00CD0C2A">
      <w:pPr>
        <w:rPr>
          <w:rFonts w:ascii="Calibri" w:hAnsi="Calibri" w:cs="Calibri"/>
          <w:i/>
          <w:color w:val="333333"/>
          <w:sz w:val="74"/>
          <w:szCs w:val="74"/>
        </w:rPr>
      </w:pPr>
      <w:r>
        <w:rPr>
          <w:rFonts w:cs="Calibri"/>
          <w:color w:val="333333"/>
          <w:sz w:val="74"/>
          <w:szCs w:val="74"/>
        </w:rPr>
        <w:t>муниципальный округ Невская застава</w:t>
      </w:r>
    </w:p>
    <w:p w:rsidR="003D3DBC" w:rsidRDefault="003D3DBC">
      <w:pPr>
        <w:rPr>
          <w:rFonts w:ascii="Calibri" w:hAnsi="Calibri" w:cs="Calibri"/>
          <w:color w:val="333333"/>
          <w:sz w:val="52"/>
          <w:szCs w:val="52"/>
        </w:rPr>
      </w:pPr>
    </w:p>
    <w:p w:rsidR="003D3DBC" w:rsidRDefault="003D3DBC">
      <w:pPr>
        <w:rPr>
          <w:rFonts w:ascii="Calibri" w:hAnsi="Calibri" w:cs="Calibri"/>
          <w:color w:val="333333"/>
          <w:sz w:val="52"/>
          <w:szCs w:val="52"/>
        </w:rPr>
      </w:pPr>
    </w:p>
    <w:p w:rsidR="003D3DBC" w:rsidRDefault="00CD0C2A">
      <w:pPr>
        <w:rPr>
          <w:rFonts w:ascii="Calibri" w:hAnsi="Calibri" w:cs="Calibri"/>
          <w:color w:val="333333"/>
          <w:sz w:val="74"/>
          <w:szCs w:val="74"/>
        </w:rPr>
      </w:pPr>
      <w:r>
        <w:rPr>
          <w:rFonts w:cs="Calibri"/>
          <w:color w:val="333333"/>
          <w:sz w:val="74"/>
          <w:szCs w:val="74"/>
        </w:rPr>
        <w:t>Содержание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муниципального образования ……….…………..……...</w:t>
      </w:r>
      <w:r>
        <w:rPr>
          <w:rFonts w:cs="TimesNewRomanPSMT"/>
          <w:sz w:val="32"/>
          <w:szCs w:val="32"/>
        </w:rPr>
        <w:t>3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показатели социально-экономического развития ………………..…........</w:t>
      </w:r>
      <w:r>
        <w:rPr>
          <w:rFonts w:cs="TimesNewRomanPSMT"/>
          <w:sz w:val="32"/>
          <w:szCs w:val="32"/>
        </w:rPr>
        <w:t>4</w:t>
      </w:r>
    </w:p>
    <w:p w:rsidR="003D3DBC" w:rsidRDefault="00CD0C2A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Основные направления бюджетной и налоговой политики на 2022 год и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плановый период 2023 и 2024 годов</w:t>
      </w:r>
      <w:r>
        <w:rPr>
          <w:rFonts w:ascii="TimesNewRomanPSMT" w:hAnsi="TimesNewRomanPSMT" w:cs="TimesNewRomanPSMT"/>
          <w:sz w:val="32"/>
          <w:szCs w:val="32"/>
        </w:rPr>
        <w:t xml:space="preserve"> …………………………………………………...</w:t>
      </w:r>
      <w:r>
        <w:rPr>
          <w:rFonts w:cs="TimesNewRomanPSMT"/>
          <w:sz w:val="32"/>
          <w:szCs w:val="32"/>
        </w:rPr>
        <w:t>11</w:t>
      </w:r>
    </w:p>
    <w:p w:rsidR="003D3DBC" w:rsidRDefault="00CD0C2A">
      <w:pPr>
        <w:spacing w:after="0" w:line="240" w:lineRule="auto"/>
        <w:rPr>
          <w:rFonts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Основные характеристики бюджета …………………………………………....…....</w:t>
      </w:r>
      <w:r>
        <w:rPr>
          <w:rFonts w:cs="TimesNewRomanPSMT"/>
          <w:sz w:val="32"/>
          <w:szCs w:val="32"/>
        </w:rPr>
        <w:t>17</w:t>
      </w:r>
    </w:p>
    <w:p w:rsidR="003D3DBC" w:rsidRDefault="00CD0C2A">
      <w:pPr>
        <w:spacing w:after="0" w:line="240" w:lineRule="auto"/>
        <w:rPr>
          <w:rFonts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Доходы бюджета ………………………..……………………………………..............</w:t>
      </w:r>
      <w:r>
        <w:rPr>
          <w:rFonts w:cs="TimesNewRomanPSMT"/>
          <w:sz w:val="32"/>
          <w:szCs w:val="32"/>
        </w:rPr>
        <w:t>18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• Расходы бюджета............................................................................................................</w:t>
      </w:r>
      <w:r>
        <w:rPr>
          <w:rFonts w:cs="TimesNewRomanPSMT"/>
          <w:sz w:val="32"/>
          <w:szCs w:val="32"/>
        </w:rPr>
        <w:t>22</w:t>
      </w:r>
    </w:p>
    <w:p w:rsidR="003D3DBC" w:rsidRDefault="00CD0C2A">
      <w:pPr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333333"/>
          <w:sz w:val="32"/>
          <w:szCs w:val="32"/>
        </w:rPr>
        <w:t>Мероприятия в области социальной политики</w:t>
      </w: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</w:t>
      </w:r>
      <w:r w:rsidR="0075288F">
        <w:rPr>
          <w:rFonts w:cs="TimesNewRomanPSMT"/>
          <w:sz w:val="32"/>
          <w:szCs w:val="32"/>
        </w:rPr>
        <w:t>25</w:t>
      </w:r>
    </w:p>
    <w:p w:rsidR="003D3DBC" w:rsidRDefault="00CD0C2A">
      <w:pPr>
        <w:spacing w:after="0" w:line="240" w:lineRule="auto"/>
        <w:rPr>
          <w:b/>
          <w:color w:val="333333"/>
          <w:sz w:val="48"/>
          <w:szCs w:val="48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333333"/>
          <w:sz w:val="32"/>
          <w:szCs w:val="32"/>
        </w:rPr>
        <w:t>Муниципальные программы, ведомственные целевые программы на 2022г</w:t>
      </w:r>
      <w:r>
        <w:rPr>
          <w:rFonts w:ascii="TimesNewRomanPSMT" w:hAnsi="TimesNewRomanPSMT" w:cs="TimesNewRomanPSMT"/>
          <w:sz w:val="32"/>
          <w:szCs w:val="32"/>
        </w:rPr>
        <w:t>...........</w:t>
      </w:r>
      <w:r w:rsidR="0075288F">
        <w:rPr>
          <w:rFonts w:cs="TimesNewRomanPSMT"/>
          <w:sz w:val="32"/>
          <w:szCs w:val="32"/>
        </w:rPr>
        <w:t>26</w:t>
      </w:r>
    </w:p>
    <w:p w:rsidR="003D3DBC" w:rsidRDefault="00CD0C2A">
      <w:pPr>
        <w:ind w:firstLine="34"/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333333"/>
          <w:sz w:val="32"/>
          <w:szCs w:val="32"/>
        </w:rPr>
        <w:t>Уровень долговой нагрузки</w:t>
      </w: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</w:t>
      </w:r>
      <w:r w:rsidR="0075288F">
        <w:rPr>
          <w:rFonts w:cs="TimesNewRomanPSMT"/>
          <w:sz w:val="32"/>
          <w:szCs w:val="32"/>
        </w:rPr>
        <w:t>33</w:t>
      </w:r>
    </w:p>
    <w:p w:rsidR="003D3DBC" w:rsidRDefault="00CD0C2A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333333"/>
          <w:sz w:val="32"/>
          <w:szCs w:val="32"/>
        </w:rPr>
        <w:t>Межбюджетные отношения</w:t>
      </w: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</w:t>
      </w:r>
      <w:r w:rsidR="0075288F">
        <w:rPr>
          <w:rFonts w:cs="TimesNewRomanPSMT"/>
          <w:sz w:val="32"/>
          <w:szCs w:val="32"/>
        </w:rPr>
        <w:t>33</w:t>
      </w:r>
    </w:p>
    <w:p w:rsidR="003D3DBC" w:rsidRDefault="00CD0C2A">
      <w:pPr>
        <w:rPr>
          <w:rFonts w:cs="TimesNewRomanPSMT"/>
          <w:color w:val="333333"/>
          <w:sz w:val="72"/>
          <w:szCs w:val="72"/>
        </w:rPr>
      </w:pPr>
      <w:r>
        <w:rPr>
          <w:rFonts w:ascii="TimesNewRomanPSMT" w:hAnsi="TimesNewRomanPSMT" w:cs="TimesNewRomanPSMT"/>
          <w:sz w:val="32"/>
          <w:szCs w:val="32"/>
        </w:rPr>
        <w:t>• Глоссарий........................................................................................................................</w:t>
      </w:r>
      <w:r w:rsidR="0075288F">
        <w:rPr>
          <w:rFonts w:cs="TimesNewRomanPSMT"/>
          <w:sz w:val="32"/>
          <w:szCs w:val="32"/>
        </w:rPr>
        <w:t>34</w:t>
      </w:r>
    </w:p>
    <w:p w:rsidR="003D3DBC" w:rsidRDefault="00CD0C2A">
      <w:pPr>
        <w:rPr>
          <w:rFonts w:ascii="Calibri" w:hAnsi="Calibri" w:cs="Calibri"/>
          <w:color w:val="4D4D4D"/>
          <w:sz w:val="74"/>
          <w:szCs w:val="74"/>
        </w:rPr>
      </w:pPr>
      <w:r>
        <w:rPr>
          <w:rFonts w:ascii="TimesNewRomanPSMT" w:hAnsi="TimesNewRomanPSMT" w:cs="TimesNewRomanPSMT"/>
          <w:sz w:val="32"/>
          <w:szCs w:val="32"/>
        </w:rPr>
        <w:t>• Контактная информация................................................................................................</w:t>
      </w:r>
      <w:r w:rsidR="0075288F">
        <w:rPr>
          <w:rFonts w:cs="TimesNewRomanPSMT"/>
          <w:sz w:val="32"/>
          <w:szCs w:val="32"/>
        </w:rPr>
        <w:t>36</w:t>
      </w:r>
    </w:p>
    <w:p w:rsidR="003D3DBC" w:rsidRDefault="003D3DBC">
      <w:pPr>
        <w:rPr>
          <w:rFonts w:ascii="Calibri" w:hAnsi="Calibri" w:cs="Calibri"/>
          <w:color w:val="4D4D4D"/>
          <w:sz w:val="74"/>
          <w:szCs w:val="74"/>
        </w:rPr>
      </w:pPr>
    </w:p>
    <w:p w:rsidR="003D3DBC" w:rsidRDefault="003D3DBC">
      <w:pPr>
        <w:rPr>
          <w:rFonts w:ascii="Calibri" w:hAnsi="Calibri" w:cs="Calibri"/>
          <w:color w:val="4D4D4D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52"/>
          <w:szCs w:val="52"/>
        </w:rPr>
      </w:pPr>
    </w:p>
    <w:p w:rsidR="003D3DBC" w:rsidRDefault="00CD0C2A">
      <w:pPr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t xml:space="preserve">Основные характеристики </w:t>
      </w:r>
      <w:proofErr w:type="gramStart"/>
      <w:r>
        <w:rPr>
          <w:rFonts w:cs="TimesNewRomanPSMT"/>
          <w:color w:val="333333"/>
          <w:sz w:val="74"/>
          <w:szCs w:val="74"/>
        </w:rPr>
        <w:t>муниципального</w:t>
      </w:r>
      <w:proofErr w:type="gramEnd"/>
    </w:p>
    <w:p w:rsidR="003D3DBC" w:rsidRDefault="00CD0C2A">
      <w:pPr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t>образования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Муниципальное образование муниципальный округ Невская застава было </w:t>
      </w: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образовано в 1998 году.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Является внутригородским муниципальным образованием города федерального значения Санкт-Петербурга, расположено в Невском районе Санкт-Петербурга.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Площадь территории – 711 га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Численность населения – 33818 человек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Поликлиники – 4, больница-1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Среднетехнические образовательные учреждения – 5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Школы – 4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Детские дошкольные учреждения – 5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36"/>
          <w:szCs w:val="36"/>
        </w:rPr>
      </w:pPr>
      <w:r>
        <w:rPr>
          <w:rFonts w:ascii="TimesNewRomanPSMT" w:hAnsi="TimesNewRomanPSMT" w:cs="TimesNewRomanPSMT"/>
          <w:color w:val="000000" w:themeColor="text1"/>
          <w:sz w:val="36"/>
          <w:szCs w:val="36"/>
        </w:rPr>
        <w:t>Библиотеки – 2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3D3DBC" w:rsidRDefault="003D3DBC">
      <w:pPr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3D3DBC" w:rsidRDefault="003D3DBC">
      <w:pPr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3D3DBC" w:rsidRDefault="003D3DBC">
      <w:pPr>
        <w:spacing w:after="0" w:line="240" w:lineRule="auto"/>
        <w:rPr>
          <w:rFonts w:cs="TimesNewRomanPSMT"/>
          <w:color w:val="1C1C1C"/>
          <w:sz w:val="32"/>
          <w:szCs w:val="32"/>
        </w:rPr>
      </w:pPr>
    </w:p>
    <w:p w:rsidR="003D3DBC" w:rsidRDefault="00CD0C2A">
      <w:pPr>
        <w:spacing w:after="0" w:line="240" w:lineRule="auto"/>
        <w:rPr>
          <w:rFonts w:cs="TimesNewRomanPSMT"/>
          <w:color w:val="1C1C1C"/>
          <w:sz w:val="74"/>
          <w:szCs w:val="74"/>
        </w:rPr>
      </w:pPr>
      <w:r>
        <w:rPr>
          <w:rFonts w:cs="TimesNewRomanPSMT"/>
          <w:color w:val="1C1C1C"/>
          <w:sz w:val="74"/>
          <w:szCs w:val="74"/>
        </w:rPr>
        <w:t>Основные показатели социально-экономического развития</w:t>
      </w:r>
    </w:p>
    <w:p w:rsidR="003D3DBC" w:rsidRDefault="00CD0C2A">
      <w:pPr>
        <w:shd w:val="clear" w:color="auto" w:fill="FFFFFF"/>
        <w:spacing w:line="274" w:lineRule="exact"/>
        <w:ind w:right="595" w:firstLine="710"/>
        <w:jc w:val="both"/>
      </w:pPr>
      <w:r>
        <w:t>Прогноз социально-экономического развития муниципального образования МО Невская застава на период 2022-2024 годы в сравнении с текущим 2021 годом:</w:t>
      </w:r>
    </w:p>
    <w:tbl>
      <w:tblPr>
        <w:tblW w:w="10598" w:type="dxa"/>
        <w:tblLayout w:type="fixed"/>
        <w:tblLook w:val="04A0"/>
      </w:tblPr>
      <w:tblGrid>
        <w:gridCol w:w="3795"/>
        <w:gridCol w:w="992"/>
        <w:gridCol w:w="1134"/>
        <w:gridCol w:w="1136"/>
        <w:gridCol w:w="1276"/>
        <w:gridCol w:w="1134"/>
        <w:gridCol w:w="1131"/>
      </w:tblGrid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Наименование целевого индикатора,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2021 год (утверж</w:t>
            </w:r>
            <w:r>
              <w:softHyphen/>
              <w:t>денный бюджет)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План 2022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proofErr w:type="gramStart"/>
            <w:r>
              <w:t>В% к текущему 2021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Прогноз</w:t>
            </w:r>
          </w:p>
          <w:p w:rsidR="003D3DBC" w:rsidRDefault="00CD0C2A">
            <w:pPr>
              <w:widowControl w:val="0"/>
              <w:jc w:val="both"/>
            </w:pPr>
            <w:r>
              <w:t>2023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Прогноз 2024 год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разработанных, изданных и распространенных среди населения МО Невская застава печатных изданий 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2000</w:t>
            </w:r>
          </w:p>
        </w:tc>
      </w:tr>
      <w:tr w:rsidR="003D3DBC">
        <w:trPr>
          <w:trHeight w:val="6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2,0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Публикация на официальном сайте или в газете Невская застава информационных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и осуществление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неработающих граждан, посетивших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разработанных, изданных и распространенных печатных изданий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1300,0%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6,0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на официальном сайте или в газете Невская застава информационных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«Благоустройство территории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покрытия (ямочный)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51,0%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3D3DBC" w:rsidRDefault="003D3DB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ограждений газонных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рубка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полусфер, уличной мебели, устрой</w:t>
            </w:r>
            <w:proofErr w:type="gramStart"/>
            <w:r>
              <w:rPr>
                <w:sz w:val="20"/>
                <w:szCs w:val="20"/>
              </w:rPr>
              <w:t>ств  дл</w:t>
            </w:r>
            <w:proofErr w:type="gramEnd"/>
            <w:r>
              <w:rPr>
                <w:sz w:val="20"/>
                <w:szCs w:val="20"/>
              </w:rPr>
              <w:t xml:space="preserve">я вертикального </w:t>
            </w:r>
            <w:r>
              <w:rPr>
                <w:sz w:val="20"/>
                <w:szCs w:val="20"/>
              </w:rPr>
              <w:lastRenderedPageBreak/>
              <w:t>озеленения и цветочного оформления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комплексного благоустройства в соответствии с  проектно сметной </w:t>
            </w:r>
            <w:proofErr w:type="gramStart"/>
            <w:r>
              <w:rPr>
                <w:sz w:val="20"/>
                <w:szCs w:val="20"/>
              </w:rPr>
              <w:t>документацией</w:t>
            </w:r>
            <w:proofErr w:type="gramEnd"/>
            <w:r>
              <w:rPr>
                <w:sz w:val="20"/>
                <w:szCs w:val="20"/>
              </w:rPr>
              <w:t xml:space="preserve"> в том числе по приоритетной программе «Формирование комфортной городской среды» по размещению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1026,6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895,6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908,2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"Участие в реализации мер по профилактике дорожно-транспортного травматизма на  территории муниципального образования МО Невская застава"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Количества детей дошкольного и младшего школьного возраста  вовлеченных в мероприятия, которые направлены на профилактику дорожно-транспортного травматизма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СМИ и на сайте муниципального образования материалов по профилактике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241,6%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28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219,6%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32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«Участие в формах, установленных </w:t>
            </w:r>
            <w:r>
              <w:rPr>
                <w:sz w:val="20"/>
                <w:szCs w:val="20"/>
              </w:rPr>
              <w:lastRenderedPageBreak/>
              <w:t xml:space="preserve">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веществ, наркомании»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разработанных, изданных и распространенных среди населения МО Невская застава печатных изданий  по ведомственной целевой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мероприятиях, направленных на профилактику наркомании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rPr>
          <w:trHeight w:val="9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1,0</w:t>
            </w:r>
          </w:p>
        </w:tc>
      </w:tr>
      <w:tr w:rsidR="003D3DBC">
        <w:trPr>
          <w:trHeight w:val="8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в СМИ и на сайте муниципального образования материалов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веществ, наркомании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12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"Организация  и проведение </w:t>
            </w:r>
            <w:proofErr w:type="gramStart"/>
            <w:r>
              <w:rPr>
                <w:sz w:val="20"/>
                <w:szCs w:val="20"/>
              </w:rPr>
              <w:t>местных</w:t>
            </w:r>
            <w:proofErr w:type="gramEnd"/>
            <w:r>
              <w:rPr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мероприятий, по сохранению местных традиций и обрядов"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праздничных мероприятий, организованных органами местного самоуправления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42,9%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7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муниципального образования, принявших участие в праздничных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4510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22,6%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1040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35,8%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42,2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42,8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"Организация и проведение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мероприятий  для жителей МО Невская застава"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мероприятий, организованных органами местного самоуправления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 муниципального образования, принявших участие в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37,5%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180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средств, затраченных на одного жителя округа за период реализации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44,9%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13,3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"Содействие развитию малого бизнеса на территории внутригородского муниципального образования Санкт-Петербурга муниципальный округ Невская застава":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разработанных, изданных и распространенных среди населения МО Невская застава печатных изданий  по ведомственной целевой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 публикаций в муниципальных СМИ (газета Невская застава и официальный сайт)  материалов по содействию развитию малого бизнеса в целях информационной поддержки малого бизнеса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граждан, проживающих на территории муниципального образования, принявших участие в </w:t>
            </w:r>
            <w:r>
              <w:rPr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"Военно-патриотическое воспитание граждан" на 2022 год: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 мероприятий, организованных органами местного самоуправления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муниципальной  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проживающих на территории муниципального образования, принявших участие в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90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 на 2022 год: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мероприятий, организованных органами местного самоуправления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3D3DBC" w:rsidRDefault="003D3D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проживающих на территории муниципального образования, принявших участие в мероприятиях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1000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газете «Невская застава», на официальном сайте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6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программные направления деятельности: показатели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</w:pP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</w:t>
            </w:r>
            <w:r>
              <w:rPr>
                <w:sz w:val="20"/>
                <w:szCs w:val="20"/>
              </w:rPr>
              <w:lastRenderedPageBreak/>
              <w:t>области содействия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center"/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100,0%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14,8</w:t>
            </w:r>
          </w:p>
        </w:tc>
      </w:tr>
      <w:tr w:rsidR="003D3D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 печатного средства массовой информации, 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tabs>
                <w:tab w:val="decimal" w:pos="612"/>
              </w:tabs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104,2%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</w:pPr>
            <w:r>
              <w:t>10,2</w:t>
            </w:r>
          </w:p>
        </w:tc>
      </w:tr>
    </w:tbl>
    <w:p w:rsidR="003D3DBC" w:rsidRDefault="003D3DBC">
      <w:pPr>
        <w:rPr>
          <w:sz w:val="20"/>
          <w:szCs w:val="20"/>
        </w:rPr>
      </w:pPr>
    </w:p>
    <w:p w:rsidR="003D3DBC" w:rsidRDefault="003D3DBC">
      <w:pPr>
        <w:ind w:firstLine="709"/>
        <w:jc w:val="both"/>
      </w:pPr>
    </w:p>
    <w:p w:rsidR="003D3DBC" w:rsidRDefault="003D3DBC">
      <w:pPr>
        <w:rPr>
          <w:rFonts w:ascii="TimesNewRomanPSMT" w:hAnsi="TimesNewRomanPSMT" w:cs="TimesNewRomanPSMT"/>
          <w:sz w:val="72"/>
          <w:szCs w:val="72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75288F" w:rsidRDefault="0075288F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CD0C2A">
      <w:pPr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lastRenderedPageBreak/>
        <w:t>Основные направления бюджетной и налоговой политики на 2022 год и на плановый период 2023 и 2024 годов</w:t>
      </w: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ind w:firstLine="709"/>
        <w:jc w:val="both"/>
      </w:pPr>
      <w:proofErr w:type="gramStart"/>
      <w:r>
        <w:t>Основные направления бюджетной и налоговой политики  муниципального образования МО Невская застава  на 2022 год и на плановый период 2023 и 2024 годов определяют основные цели, задачи и направления бюджетной и налоговой политики муниципального образования МО Невская застава (далее – бюджетная и налоговая политика) в области доходов и расходов бюджета, управления муниципальным финансами, муниципального контроля в финансово-бюджетной сфере и являются основой для</w:t>
      </w:r>
      <w:proofErr w:type="gramEnd"/>
      <w:r>
        <w:t xml:space="preserve"> составления проекта  бюджета на 2022 год и на плановый период 2023 и 2024 годов.</w:t>
      </w:r>
    </w:p>
    <w:p w:rsidR="003D3DBC" w:rsidRDefault="00CD0C2A">
      <w:pPr>
        <w:spacing w:after="120"/>
        <w:ind w:firstLine="708"/>
        <w:jc w:val="both"/>
      </w:pPr>
      <w:proofErr w:type="gramStart"/>
      <w:r>
        <w:t>При подготовке Основных направлений бюджетной и налоговой 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21 апреля 2021 года, положения  «О</w:t>
      </w:r>
      <w:r>
        <w:rPr>
          <w:rFonts w:ascii="TimesNewRomanPSMT" w:hAnsi="TimesNewRomanPSMT" w:cs="TimesNewRomanPSMT"/>
        </w:rPr>
        <w:t xml:space="preserve">сновных направлений бюджетной, налоговой и </w:t>
      </w:r>
      <w:proofErr w:type="spellStart"/>
      <w:r>
        <w:rPr>
          <w:rFonts w:ascii="TimesNewRomanPSMT" w:hAnsi="TimesNewRomanPSMT" w:cs="TimesNewRomanPSMT"/>
        </w:rPr>
        <w:t>таможенно</w:t>
      </w:r>
      <w:proofErr w:type="spellEnd"/>
      <w:r>
        <w:rPr>
          <w:rFonts w:ascii="TimesNewRomanPSMT" w:hAnsi="TimesNewRomanPSMT" w:cs="TimesNewRomanPSMT"/>
        </w:rPr>
        <w:t xml:space="preserve"> - тарифной политики Российской Федерации на</w:t>
      </w:r>
      <w:proofErr w:type="gramEnd"/>
      <w:r>
        <w:rPr>
          <w:rFonts w:ascii="TimesNewRomanPSMT" w:hAnsi="TimesNewRomanPSMT" w:cs="TimesNewRomanPSMT"/>
        </w:rPr>
        <w:t xml:space="preserve"> 2021 год и на плановый период 2022-2023 годы», муниципальные программы и ведомственные - целевые программы</w:t>
      </w:r>
      <w:r>
        <w:t xml:space="preserve"> муниципального образования МО Невская застава.</w:t>
      </w:r>
    </w:p>
    <w:p w:rsidR="003D3DBC" w:rsidRDefault="00CD0C2A">
      <w:pPr>
        <w:spacing w:after="120"/>
        <w:jc w:val="both"/>
      </w:pPr>
      <w:r>
        <w:t xml:space="preserve">Целью Основных направлений бюджетной и налоговой политики является определение условий, используемых при составлении проекта  бюджета, подходов к его формированию, основных характеристик и прогнозируемых параметров, а также обеспечение прозрачности и открытости бюджетного планирования. </w:t>
      </w:r>
    </w:p>
    <w:p w:rsidR="003D3DBC" w:rsidRDefault="00CD0C2A">
      <w:pPr>
        <w:ind w:firstLine="540"/>
        <w:jc w:val="both"/>
      </w:pPr>
      <w: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3D3DBC" w:rsidRDefault="00CD0C2A">
      <w:pPr>
        <w:ind w:firstLine="709"/>
        <w:jc w:val="both"/>
      </w:pPr>
      <w:r>
        <w:t xml:space="preserve"> I. Основные цели и задачи бюджетной политики на 2022 год и на плановый период 2023 и 2024 годов</w:t>
      </w:r>
    </w:p>
    <w:p w:rsidR="003D3DBC" w:rsidRDefault="00CD0C2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Борьба с пандемией и содействие восстановлению экономики. Ранее поставленные цели бюджетной политики м</w:t>
      </w:r>
      <w:r>
        <w:t>униципального образования муниципальный округ Невская застава</w:t>
      </w:r>
      <w:r>
        <w:rPr>
          <w:rFonts w:eastAsia="Times New Roman"/>
          <w:lang w:eastAsia="ru-RU"/>
        </w:rPr>
        <w:t xml:space="preserve">: обеспечение устойчивости бюджетной системы Российской Федерации и безусловное исполнение принятых обязательств наиболее эффективным способом, не потеряли своей актуальности и должны быть достигнуты с учетом решения новых задач по преодолению существующих проблем. Целью бюджетной политики на 2022 год и на плановый период 2023 и 2024 годов является обеспечение </w:t>
      </w:r>
      <w:r>
        <w:rPr>
          <w:rFonts w:eastAsia="Times New Roman"/>
          <w:lang w:eastAsia="ru-RU"/>
        </w:rPr>
        <w:lastRenderedPageBreak/>
        <w:t xml:space="preserve">устойчивости бюджета </w:t>
      </w:r>
      <w:r>
        <w:t>муниципального образования МО Невская застава и безусловное исполнение принятых обязательств наиболее эффективным способом</w:t>
      </w:r>
      <w:r>
        <w:rPr>
          <w:rFonts w:eastAsia="Times New Roman"/>
          <w:lang w:eastAsia="ru-RU"/>
        </w:rPr>
        <w:t>.</w:t>
      </w:r>
    </w:p>
    <w:p w:rsidR="003D3DBC" w:rsidRDefault="00CD0C2A">
      <w:pPr>
        <w:ind w:firstLine="540"/>
        <w:jc w:val="both"/>
      </w:pPr>
      <w:r>
        <w:t>При разработке Основных направлений бюджетной политики на местном уровне учитывается экономическая ситуация, сложившаяся в Российской Федерации на настоящий момент, и показатели  проекта федерального бюджета.</w:t>
      </w:r>
    </w:p>
    <w:p w:rsidR="003D3DBC" w:rsidRDefault="00CD0C2A">
      <w:pPr>
        <w:pStyle w:val="Default"/>
        <w:ind w:firstLine="539"/>
        <w:jc w:val="both"/>
        <w:rPr>
          <w:color w:val="auto"/>
        </w:rPr>
      </w:pPr>
      <w:r>
        <w:rPr>
          <w:color w:val="auto"/>
        </w:rPr>
        <w:t xml:space="preserve">В части налоговых мер, перечисленных в основных направлениях налоговой политики РФ, и влияющих на поступление доходов внутригородских муниципальных образований Санкт-Петербурга,  предполагается: </w:t>
      </w:r>
    </w:p>
    <w:p w:rsidR="003D3DBC" w:rsidRDefault="00CD0C2A">
      <w:pPr>
        <w:ind w:firstLine="539"/>
        <w:jc w:val="both"/>
        <w:rPr>
          <w:b/>
          <w:bCs/>
          <w:lang w:eastAsia="ru-RU"/>
        </w:rPr>
      </w:pPr>
      <w:r>
        <w:rPr>
          <w:bCs/>
          <w:lang w:eastAsia="ru-RU"/>
        </w:rPr>
        <w:t>Поддержка субъектов малого и среднего бизнеса</w:t>
      </w:r>
    </w:p>
    <w:p w:rsidR="003D3DBC" w:rsidRDefault="00CD0C2A">
      <w:pPr>
        <w:ind w:firstLine="539"/>
        <w:jc w:val="both"/>
        <w:rPr>
          <w:lang w:eastAsia="ru-RU"/>
        </w:rPr>
      </w:pPr>
      <w:r>
        <w:rPr>
          <w:lang w:eastAsia="ru-RU"/>
        </w:rPr>
        <w:t xml:space="preserve">Задача диверсификации российской экономики и повышения экономической активности населения тесно связана с целью увеличения числа </w:t>
      </w:r>
      <w:proofErr w:type="gramStart"/>
      <w:r>
        <w:rPr>
          <w:lang w:eastAsia="ru-RU"/>
        </w:rPr>
        <w:t>занятых</w:t>
      </w:r>
      <w:proofErr w:type="gramEnd"/>
      <w:r>
        <w:rPr>
          <w:lang w:eastAsia="ru-RU"/>
        </w:rPr>
        <w:t xml:space="preserve"> в сфере малого и среднего предпринимательства (МСП) и поддержка индивидуальной предпринимательской инициативы.</w:t>
      </w:r>
    </w:p>
    <w:p w:rsidR="003D3DBC" w:rsidRDefault="00CD0C2A">
      <w:pPr>
        <w:ind w:firstLine="540"/>
        <w:jc w:val="both"/>
      </w:pPr>
      <w:r>
        <w:t xml:space="preserve">Реализация принципа эффективности использования бюджетных средств предполагает обеспечение долгосрочной сбалансированности и устойчивости местного бюджета как ключевого звена бюджетной системы, что является важнейшей предпосылкой для сохранения финансовой стабильности, которая, в свою очередь, создает базовые условия для развития в </w:t>
      </w:r>
      <w:proofErr w:type="gramStart"/>
      <w:r>
        <w:t>социально-экономический</w:t>
      </w:r>
      <w:proofErr w:type="gramEnd"/>
      <w:r>
        <w:t xml:space="preserve"> сфере.</w:t>
      </w:r>
    </w:p>
    <w:p w:rsidR="003D3DBC" w:rsidRDefault="00CD0C2A">
      <w:pPr>
        <w:ind w:firstLine="540"/>
        <w:jc w:val="both"/>
      </w:pPr>
      <w:r>
        <w:t>Для наиболее эффективного решения вопросов местного значения муниципальное образование применяет программный подход. Муниципальные и ведомственные целевые программы разрабатываются для реализации наиболее значимых задач муниципального образования. Увеличение  доли расходов на реализацию муниципальных и ведомственных целевых программ в общей сумме расходов бюджета является одним из приоритетов бюджетной политики.</w:t>
      </w:r>
    </w:p>
    <w:p w:rsidR="003D3DBC" w:rsidRDefault="00CD0C2A">
      <w:pPr>
        <w:ind w:firstLine="540"/>
        <w:jc w:val="both"/>
      </w:pPr>
      <w:r>
        <w:t>Переход к формированию бюджета на основе муниципальных и ведомственных 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деятельности.</w:t>
      </w:r>
    </w:p>
    <w:p w:rsidR="003D3DBC" w:rsidRDefault="00CD0C2A">
      <w:pPr>
        <w:ind w:firstLine="540"/>
        <w:jc w:val="both"/>
      </w:pPr>
      <w:r>
        <w:t>В муниципальных и ведомственных целевых  программах следует более полно отразить комплекс мер и инструментов бюджетной политики, повысив тем самым их качество. Важно обеспечить дальнейшую интеграцию муниципальных и ведомственных целевых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программ. При этом необходимость исполнения полномочий в условиях жестких финансовых ограничений предполагает расширение полномочий ответственных исполнителей по перераспределению средств между мероприятиями  программ.</w:t>
      </w:r>
    </w:p>
    <w:p w:rsidR="003D3DBC" w:rsidRDefault="00CD0C2A">
      <w:pPr>
        <w:ind w:firstLine="540"/>
        <w:jc w:val="both"/>
      </w:pPr>
      <w:r>
        <w:t>Необходимо производить обязательную корректировку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перспективу.</w:t>
      </w:r>
    </w:p>
    <w:p w:rsidR="003D3DBC" w:rsidRDefault="00CD0C2A">
      <w:pPr>
        <w:ind w:firstLine="540"/>
        <w:jc w:val="both"/>
      </w:pPr>
      <w:r>
        <w:lastRenderedPageBreak/>
        <w:t xml:space="preserve"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целом. </w:t>
      </w:r>
    </w:p>
    <w:p w:rsidR="003D3DBC" w:rsidRDefault="00CD0C2A">
      <w:pPr>
        <w:ind w:firstLine="540"/>
        <w:jc w:val="both"/>
      </w:pPr>
      <w:r>
        <w:t xml:space="preserve">Открытость бюджета - основа для повышения информированности и вовлеченности целевых аудиторий. </w:t>
      </w:r>
    </w:p>
    <w:p w:rsidR="003D3DBC" w:rsidRDefault="00CD0C2A">
      <w:pPr>
        <w:ind w:firstLine="709"/>
        <w:jc w:val="both"/>
      </w:pPr>
      <w:r>
        <w:rPr>
          <w:lang w:eastAsia="ru-RU"/>
        </w:rPr>
        <w:t>II. Приоритеты политики расходования</w:t>
      </w:r>
      <w:r>
        <w:t xml:space="preserve"> бюджетных средств</w:t>
      </w:r>
    </w:p>
    <w:p w:rsidR="003D3DBC" w:rsidRDefault="00CD0C2A">
      <w:pPr>
        <w:ind w:firstLine="540"/>
        <w:jc w:val="both"/>
      </w:pPr>
      <w:r>
        <w:rPr>
          <w:rFonts w:eastAsia="Times New Roman"/>
          <w:lang w:eastAsia="ru-RU"/>
        </w:rPr>
        <w:t xml:space="preserve">Политика расходования бюджетных средств  муниципального образования МО </w:t>
      </w:r>
      <w:r>
        <w:t>Невская застава  на 2022 год и на среднесрочную перспективу должна быть направлена на обеспечение решения приоритетных задач социально-экономического развития:</w:t>
      </w:r>
    </w:p>
    <w:p w:rsidR="003D3DBC" w:rsidRDefault="00CD0C2A">
      <w:pPr>
        <w:ind w:firstLine="540"/>
        <w:jc w:val="both"/>
      </w:pPr>
      <w:r>
        <w:t>-осуществлять планирование бюджетных ассигнований исходя из безусловного исполнения действующих расходных обязательств. Принципиальные решения об их отмене, прекращении или реструктуризации должны вырабатываться по возможности до завершения формирования проекта бюджета;</w:t>
      </w:r>
    </w:p>
    <w:p w:rsidR="003D3DBC" w:rsidRDefault="00CD0C2A">
      <w:pPr>
        <w:ind w:firstLine="540"/>
        <w:jc w:val="both"/>
      </w:pPr>
      <w:r>
        <w:t>-принимать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3D3DBC" w:rsidRDefault="00CD0C2A">
      <w:pPr>
        <w:ind w:firstLine="540"/>
        <w:jc w:val="both"/>
      </w:pPr>
      <w:r>
        <w:t>-формирование расходов бюджета муниципального образования должно производиться по программному принципу (следует обеспечить качественную разработку и своевременное утверждение муниципальных и ведомственных целевых программ; программы должны соответствовать приоритетам и реальным возможностям бюджета муниципального образования, обеспечивать взаимосвязь с основными параметрами оказания муниципальных услуг)</w:t>
      </w:r>
    </w:p>
    <w:p w:rsidR="003D3DBC" w:rsidRDefault="00CD0C2A">
      <w:pPr>
        <w:ind w:firstLine="540"/>
        <w:jc w:val="both"/>
      </w:pPr>
      <w:r>
        <w:t xml:space="preserve">-применять современные процедуры размещения заказов. Закупки должны использоваться для повышения конкурентоспособности эффективных производителей, исключения заключения контрактов с некомпетентными исполнителями; </w:t>
      </w:r>
    </w:p>
    <w:p w:rsidR="003D3DBC" w:rsidRDefault="00CD0C2A">
      <w:pPr>
        <w:ind w:firstLine="540"/>
        <w:jc w:val="both"/>
      </w:pPr>
      <w:r>
        <w:t>-повышение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целом.</w:t>
      </w:r>
    </w:p>
    <w:p w:rsidR="003D3DBC" w:rsidRDefault="00CD0C2A">
      <w:pPr>
        <w:ind w:firstLine="709"/>
        <w:jc w:val="both"/>
      </w:pPr>
      <w:r>
        <w:rPr>
          <w:color w:val="000000"/>
        </w:rPr>
        <w:t xml:space="preserve">Прогноз расходов для проекта местного бюджета формируется на основе основных параметров Прогноза социально-экономического развития муниципального образования муниципальный округ Невская застава на 2022-2024 годы. </w:t>
      </w:r>
      <w:r>
        <w:t xml:space="preserve">Расходы бюджета  в 2022-2024 годах прогнозируются с уменьшением, в связи с уменьшением поступлений налогов в бюджет муниципального образования в связи с последствиями пандемии </w:t>
      </w:r>
      <w:proofErr w:type="spellStart"/>
      <w:r>
        <w:t>коронавируса</w:t>
      </w:r>
      <w:proofErr w:type="spellEnd"/>
      <w:r>
        <w:t>, изменением в законодательстве, а также с изменением подхода Комитета финансов</w:t>
      </w:r>
      <w:proofErr w:type="gramStart"/>
      <w:r>
        <w:t xml:space="preserve"> С</w:t>
      </w:r>
      <w:proofErr w:type="gramEnd"/>
      <w:r>
        <w:t xml:space="preserve">анкт Петербурга к распределению доходов муниципальным образованиям.  </w:t>
      </w:r>
    </w:p>
    <w:p w:rsidR="003D3DBC" w:rsidRDefault="00CD0C2A">
      <w:pPr>
        <w:ind w:firstLine="540"/>
        <w:jc w:val="both"/>
      </w:pPr>
      <w:r>
        <w:lastRenderedPageBreak/>
        <w:t>При планировании объема расходных обязательств необходимо учитывать оценку исполнения в 2021 году, уточненный прогноз показателей социально-экономического развития.</w:t>
      </w:r>
    </w:p>
    <w:p w:rsidR="003D3DBC" w:rsidRDefault="00CD0C2A">
      <w:pPr>
        <w:ind w:firstLine="540"/>
        <w:jc w:val="both"/>
      </w:pPr>
      <w:r>
        <w:t xml:space="preserve">Источником финансирования дефицита бюджета является остаток на едином счете бюджета по результатам исполнения бюджета в 2021 году. На прогноз </w:t>
      </w:r>
      <w:proofErr w:type="gramStart"/>
      <w:r>
        <w:t>размера источника финансирования дефицита бюджета</w:t>
      </w:r>
      <w:proofErr w:type="gramEnd"/>
      <w:r>
        <w:t xml:space="preserve"> влияет объём исполнения бюджета по доходам и расходам, экономия бюджетных средств при проведении конкурсных процедур в процессе определения поставщиков (подрядчиков, исполнителей) для обеспечения муниципальных нужд.</w:t>
      </w:r>
    </w:p>
    <w:p w:rsidR="003D3DBC" w:rsidRDefault="00CD0C2A">
      <w:pPr>
        <w:ind w:firstLine="540"/>
        <w:jc w:val="both"/>
      </w:pPr>
      <w:r>
        <w:t xml:space="preserve">Открытость бюджета - основа для повышения информированности и вовлеченности целевых аудиторий. </w:t>
      </w:r>
    </w:p>
    <w:p w:rsidR="003D3DBC" w:rsidRDefault="00CD0C2A">
      <w:pPr>
        <w:ind w:firstLine="540"/>
        <w:jc w:val="both"/>
      </w:pPr>
      <w:r>
        <w:t>Необходимо обеспечить публичность процесса управления муниципальными финансами муниципального образования муниципальный округ Невская застава,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3D3DBC" w:rsidRDefault="00CD0C2A">
      <w:pPr>
        <w:ind w:firstLine="540"/>
        <w:jc w:val="both"/>
      </w:pPr>
      <w:r>
        <w:t>Одним из необходимых условий обеспечения эффективности государственных финансов является дальнейшее размещение информации для достижения открытости деятельности муниципального образования  на базе системы «Электронный бюджет».</w:t>
      </w:r>
    </w:p>
    <w:p w:rsidR="003D3DBC" w:rsidRDefault="003D3DBC">
      <w:pPr>
        <w:ind w:firstLine="540"/>
        <w:jc w:val="both"/>
      </w:pPr>
    </w:p>
    <w:p w:rsidR="003D3DBC" w:rsidRDefault="00CD0C2A">
      <w:pPr>
        <w:ind w:firstLine="540"/>
        <w:jc w:val="both"/>
      </w:pPr>
      <w:r>
        <w:rPr>
          <w:rFonts w:eastAsia="Times New Roman"/>
          <w:lang w:eastAsia="ru-RU"/>
        </w:rPr>
        <w:t>I</w:t>
      </w:r>
      <w:r>
        <w:rPr>
          <w:rFonts w:eastAsia="Times New Roman"/>
          <w:lang w:val="en-US" w:eastAsia="ru-RU"/>
        </w:rPr>
        <w:t>II</w:t>
      </w:r>
      <w:r>
        <w:rPr>
          <w:rFonts w:eastAsia="Times New Roman"/>
          <w:lang w:eastAsia="ru-RU"/>
        </w:rPr>
        <w:t xml:space="preserve">.Совершенствование контроля за целевым и эффективным использованием </w:t>
      </w:r>
      <w:r>
        <w:t>бюджетных средств</w:t>
      </w:r>
    </w:p>
    <w:p w:rsidR="003D3DBC" w:rsidRDefault="00CD0C2A">
      <w:pPr>
        <w:ind w:firstLine="540"/>
        <w:jc w:val="both"/>
      </w:pPr>
      <w:r>
        <w:t>Особое внимание должно быть уделено контролю:</w:t>
      </w:r>
    </w:p>
    <w:p w:rsidR="003D3DBC" w:rsidRDefault="00CD0C2A">
      <w:pPr>
        <w:ind w:firstLine="540"/>
        <w:jc w:val="both"/>
      </w:pPr>
      <w:r>
        <w:t xml:space="preserve">-за соблюдением законодательства Российской Федерации в сфере размещения заказов на поставки товаров, выполнение работ, оказание услуг для обеспечения государственных и муниципальных нужд в соответствии с 44 Федеральным законом,  и развития контрактной системы в сфере закупок товаров, работ, услуг для обеспечения муниципальных нужд; </w:t>
      </w:r>
    </w:p>
    <w:p w:rsidR="003D3DBC" w:rsidRDefault="00CD0C2A">
      <w:pPr>
        <w:ind w:firstLine="540"/>
        <w:jc w:val="both"/>
      </w:pPr>
      <w:r>
        <w:t>-за целевым и эффективным использованием бюджетных средств,</w:t>
      </w:r>
    </w:p>
    <w:p w:rsidR="003D3DBC" w:rsidRDefault="00CD0C2A">
      <w:pPr>
        <w:ind w:firstLine="540"/>
        <w:jc w:val="both"/>
      </w:pPr>
      <w:r>
        <w:rPr>
          <w:b/>
          <w:color w:val="000000"/>
        </w:rPr>
        <w:t>-</w:t>
      </w:r>
      <w:r>
        <w:t>расширение сферы муниципального финансового контроля;</w:t>
      </w:r>
    </w:p>
    <w:p w:rsidR="003D3DBC" w:rsidRDefault="00CD0C2A">
      <w:pPr>
        <w:ind w:firstLine="540"/>
        <w:jc w:val="both"/>
      </w:pPr>
      <w:r>
        <w:t>- развитие внутреннего</w:t>
      </w:r>
      <w:r>
        <w:rPr>
          <w:color w:val="000000"/>
        </w:rPr>
        <w:t xml:space="preserve"> финансового контроля</w:t>
      </w:r>
    </w:p>
    <w:p w:rsidR="003D3DBC" w:rsidRDefault="00CD0C2A">
      <w:pPr>
        <w:pStyle w:val="ae"/>
        <w:spacing w:before="280" w:after="28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auto"/>
          <w:sz w:val="24"/>
          <w:szCs w:val="24"/>
        </w:rPr>
        <w:t>.Основные направления налоговой политики</w:t>
      </w:r>
    </w:p>
    <w:p w:rsidR="003D3DBC" w:rsidRDefault="00CD0C2A">
      <w:pPr>
        <w:ind w:firstLine="709"/>
        <w:jc w:val="both"/>
        <w:rPr>
          <w:b/>
          <w:bCs/>
        </w:rPr>
      </w:pPr>
      <w:r>
        <w:t xml:space="preserve">Поступление налогов и прочие доходы в бюджет муниципального образования МО Невская застава в 2022-2024 годах определяются  на основе нормативов зачислений в бюджет муниципального образования, в соответствии с  проектом закона Санкт-Петербурга «О бюджете Санкт-Петербурга на </w:t>
      </w:r>
      <w:r>
        <w:lastRenderedPageBreak/>
        <w:t xml:space="preserve">2022 год и плановый период 2023-2024 годов. При прогнозировании поступлений собственных доходов используется  методика прогнозирования поступлений в бюджет муниципального образования МО Невская застава доходов, </w:t>
      </w:r>
      <w:proofErr w:type="spellStart"/>
      <w:r>
        <w:t>администрируемых</w:t>
      </w:r>
      <w:proofErr w:type="spellEnd"/>
      <w:r>
        <w:t xml:space="preserve"> местной администрацией муниципального образования МО Невская застава</w:t>
      </w:r>
    </w:p>
    <w:p w:rsidR="003D3DBC" w:rsidRDefault="00CD0C2A">
      <w:pPr>
        <w:jc w:val="both"/>
      </w:pPr>
      <w:r>
        <w:rPr>
          <w:bCs/>
        </w:rPr>
        <w:t>Налоговые доходы:</w:t>
      </w:r>
    </w:p>
    <w:p w:rsidR="003D3DBC" w:rsidRDefault="00CD0C2A">
      <w:pPr>
        <w:jc w:val="both"/>
      </w:pPr>
      <w:r>
        <w:t>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:rsidR="003D3DBC" w:rsidRDefault="00CD0C2A">
      <w:pPr>
        <w:jc w:val="both"/>
        <w:rPr>
          <w:b/>
        </w:rPr>
      </w:pPr>
      <w:r>
        <w:rPr>
          <w:b/>
          <w:bCs/>
        </w:rPr>
        <w:t>Неналоговые доходы:</w:t>
      </w:r>
    </w:p>
    <w:p w:rsidR="003D3DBC" w:rsidRDefault="00CD0C2A">
      <w:r>
        <w:t>1.Доходы от  сдачи  в  аренду  имущества,    находящегося в  оперативном  управлении органов   управления     муниципальных    образований    и созданных  ими  учреждений (за исключением имущества муниципальных бюджетных и автономных учреждений)</w:t>
      </w:r>
    </w:p>
    <w:p w:rsidR="003D3DBC" w:rsidRDefault="00CD0C2A">
      <w:r>
        <w:t>2. 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</w:r>
    </w:p>
    <w:p w:rsidR="003D3DBC" w:rsidRDefault="00CD0C2A">
      <w:r>
        <w:t>3. Доходы от компенсации затрат бюджетов муниципальных образований, в том числе средства, составляющие восстановительную стоимость зеленых насаждений общего пользования местного значения и 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</w:r>
    </w:p>
    <w:p w:rsidR="003D3DBC" w:rsidRDefault="00CD0C2A">
      <w:r>
        <w:t>4. Доходы от реализации имущества,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3D3DBC" w:rsidRDefault="00CD0C2A">
      <w:pPr>
        <w:jc w:val="both"/>
        <w:rPr>
          <w:rFonts w:eastAsia="Times New Roman"/>
          <w:lang w:eastAsia="ru-RU"/>
        </w:rPr>
      </w:pPr>
      <w:r>
        <w:t xml:space="preserve">5. </w:t>
      </w:r>
      <w:proofErr w:type="gramStart"/>
      <w:r>
        <w:rPr>
          <w:rFonts w:eastAsia="Times New Roman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</w:r>
      <w:proofErr w:type="gramEnd"/>
    </w:p>
    <w:p w:rsidR="003D3DBC" w:rsidRDefault="00CD0C2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>
        <w:t xml:space="preserve"> </w:t>
      </w:r>
      <w:r>
        <w:rPr>
          <w:rFonts w:eastAsia="Times New Roman"/>
          <w:lang w:eastAsia="ru-RU"/>
        </w:rPr>
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3D3DBC" w:rsidRDefault="00CD0C2A">
      <w:pPr>
        <w:jc w:val="both"/>
      </w:pPr>
      <w:r>
        <w:rPr>
          <w:rFonts w:eastAsia="Times New Roman"/>
          <w:lang w:eastAsia="ru-RU"/>
        </w:rPr>
        <w:t>7</w:t>
      </w:r>
      <w:r>
        <w:t>. Платежи в целях возмещения убытков, причиненных уклонением от заключения муниципального контракта</w:t>
      </w:r>
    </w:p>
    <w:p w:rsidR="003D3DBC" w:rsidRDefault="00CD0C2A">
      <w:pPr>
        <w:jc w:val="both"/>
      </w:pPr>
      <w:r>
        <w:t>8. 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</w:r>
    </w:p>
    <w:p w:rsidR="003D3DBC" w:rsidRDefault="00CD0C2A">
      <w:pPr>
        <w:jc w:val="both"/>
      </w:pPr>
      <w:r>
        <w:lastRenderedPageBreak/>
        <w:t>9.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</w:p>
    <w:p w:rsidR="003D3DBC" w:rsidRDefault="00CD0C2A">
      <w:pPr>
        <w:jc w:val="both"/>
      </w:pPr>
      <w:r>
        <w:t>10.Прочие неналоговые доходы, зачисляемые в бюджеты муниципальных образований.</w:t>
      </w:r>
    </w:p>
    <w:p w:rsidR="003D3DBC" w:rsidRDefault="00CD0C2A">
      <w:pPr>
        <w:jc w:val="both"/>
        <w:rPr>
          <w:bCs/>
        </w:rPr>
      </w:pPr>
      <w:r>
        <w:rPr>
          <w:bCs/>
        </w:rPr>
        <w:t>Безвозмездные поступления</w:t>
      </w:r>
    </w:p>
    <w:p w:rsidR="003D3DBC" w:rsidRDefault="00CD0C2A">
      <w:pPr>
        <w:jc w:val="both"/>
      </w:pPr>
      <w:r>
        <w:t xml:space="preserve">1. Дотации бюджетам бюджетной системы Российской Федерации </w:t>
      </w:r>
    </w:p>
    <w:p w:rsidR="003D3DBC" w:rsidRDefault="00CD0C2A">
      <w:pPr>
        <w:jc w:val="both"/>
      </w:pPr>
      <w:r>
        <w:t xml:space="preserve">2. Субвенции бюджетам бюджетной системы Российской Федерации                 </w:t>
      </w:r>
    </w:p>
    <w:p w:rsidR="003D3DBC" w:rsidRDefault="003D3DBC"/>
    <w:p w:rsidR="003D3DBC" w:rsidRDefault="00CD0C2A">
      <w:pPr>
        <w:ind w:firstLine="708"/>
        <w:jc w:val="both"/>
      </w:pPr>
      <w:r>
        <w:t>Сформированный на основе изложенных выше основных направлений бюджетной и налоговой политики проект  бюджета на 2022 год должен стать одним из ключевых инструментов экономической политики, направленной на обеспечение  стабильности и сбалансированного развития муниципального образования МО Невская застава.</w:t>
      </w:r>
    </w:p>
    <w:p w:rsidR="003D3DBC" w:rsidRDefault="00CD0C2A">
      <w:pPr>
        <w:ind w:firstLine="708"/>
        <w:jc w:val="both"/>
      </w:pPr>
      <w:r>
        <w:t xml:space="preserve">Кроме того, должны быть реализованы меры по повышению качества предоставления государственных услуг, процедур проведения муниципальных закупок, предварительного и последующего финансового контроля. </w:t>
      </w:r>
    </w:p>
    <w:p w:rsidR="003D3DBC" w:rsidRDefault="00CD0C2A">
      <w:pPr>
        <w:ind w:firstLine="708"/>
        <w:jc w:val="both"/>
      </w:pPr>
      <w:r>
        <w:t>Неотъемлемым условием эффективной реализации, обозначенной бюджетной и налоговой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3D3DBC" w:rsidRDefault="003D3DBC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75288F" w:rsidRDefault="0075288F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75288F" w:rsidRDefault="0075288F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</w:p>
    <w:p w:rsidR="003D3DBC" w:rsidRDefault="00CD0C2A">
      <w:pPr>
        <w:tabs>
          <w:tab w:val="left" w:pos="11505"/>
        </w:tabs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lastRenderedPageBreak/>
        <w:t>Основные характеристики бюджета</w:t>
      </w:r>
    </w:p>
    <w:p w:rsidR="003D3DBC" w:rsidRDefault="003D3DBC">
      <w:pPr>
        <w:jc w:val="center"/>
        <w:rPr>
          <w:rFonts w:cs="TimesNewRomanPSMT"/>
          <w:color w:val="333333"/>
          <w:sz w:val="12"/>
          <w:szCs w:val="12"/>
        </w:rPr>
      </w:pPr>
    </w:p>
    <w:tbl>
      <w:tblPr>
        <w:tblW w:w="5667" w:type="dxa"/>
        <w:tblInd w:w="2181" w:type="dxa"/>
        <w:tblLayout w:type="fixed"/>
        <w:tblLook w:val="01E0"/>
      </w:tblPr>
      <w:tblGrid>
        <w:gridCol w:w="2508"/>
        <w:gridCol w:w="1580"/>
        <w:gridCol w:w="1579"/>
      </w:tblGrid>
      <w:tr w:rsidR="003D3DB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3DBC">
        <w:trPr>
          <w:trHeight w:val="9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(тыс. руб.)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 w:rsidP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83950,0</w:t>
            </w:r>
          </w:p>
        </w:tc>
      </w:tr>
      <w:tr w:rsidR="003D3DB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трансферты*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64711,2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67429,1</w:t>
            </w:r>
          </w:p>
        </w:tc>
      </w:tr>
      <w:tr w:rsidR="003D3DB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(тыс. руб.)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84050,0</w:t>
            </w:r>
          </w:p>
        </w:tc>
      </w:tr>
      <w:tr w:rsidR="003D3DB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</w:tbl>
    <w:p w:rsidR="003D3DBC" w:rsidRDefault="003D3DB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Субвенции (безвозмездные поступления) из бюджета Санкт-Петербурга на выполнение</w:t>
      </w:r>
    </w:p>
    <w:p w:rsidR="003D3DBC" w:rsidRDefault="00CD0C2A">
      <w:pPr>
        <w:rPr>
          <w:bCs/>
        </w:rPr>
      </w:pPr>
      <w:r>
        <w:rPr>
          <w:rFonts w:ascii="TimesNewRomanPSMT" w:hAnsi="TimesNewRomanPSMT" w:cs="TimesNewRomanPSMT"/>
          <w:sz w:val="24"/>
          <w:szCs w:val="24"/>
        </w:rPr>
        <w:t>передаваемых полномочий по опеке и попечительству, составлению протоколов об административных правонарушениях.</w:t>
      </w:r>
      <w:r>
        <w:rPr>
          <w:bCs/>
        </w:rPr>
        <w:t xml:space="preserve"> </w:t>
      </w:r>
    </w:p>
    <w:p w:rsidR="003D3DBC" w:rsidRDefault="00CD0C2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</w:p>
    <w:p w:rsidR="003D3DBC" w:rsidRDefault="00CD0C2A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745109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DBC" w:rsidRDefault="00CD0C2A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011545"/>
            <wp:effectExtent l="0" t="0" r="0" b="0"/>
            <wp:wrapSquare wrapText="largest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DBC" w:rsidRDefault="003D3DBC">
      <w:pPr>
        <w:rPr>
          <w:color w:val="FF0000"/>
        </w:rPr>
      </w:pPr>
    </w:p>
    <w:p w:rsidR="003D3DBC" w:rsidRDefault="003D3DBC">
      <w:pPr>
        <w:rPr>
          <w:color w:val="FF0000"/>
        </w:rPr>
      </w:pPr>
    </w:p>
    <w:tbl>
      <w:tblPr>
        <w:tblW w:w="9570" w:type="dxa"/>
        <w:tblLayout w:type="fixed"/>
        <w:tblLook w:val="04A0"/>
      </w:tblPr>
      <w:tblGrid>
        <w:gridCol w:w="2661"/>
        <w:gridCol w:w="1218"/>
        <w:gridCol w:w="1475"/>
        <w:gridCol w:w="1559"/>
        <w:gridCol w:w="1395"/>
        <w:gridCol w:w="1262"/>
      </w:tblGrid>
      <w:tr w:rsidR="003D3DB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КБК доходов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Утверждено местным бюджетом на 2021 год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Запланировано решением МС о местном бюджете на 2022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Удельный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вес,%</w:t>
            </w:r>
            <w:proofErr w:type="spellEnd"/>
          </w:p>
        </w:tc>
      </w:tr>
      <w:tr w:rsidR="003D3DB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% к 2021 году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Доходы, </w:t>
            </w:r>
            <w:r>
              <w:rPr>
                <w:rFonts w:eastAsia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82450,0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83950,0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96,8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100,0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17738,8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16520,9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19,7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16507,1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14870,0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17,7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Calibri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209,3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2,0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Штрафы, санкции, возмещение ущерба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34,5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lastRenderedPageBreak/>
              <w:t>Безвозмездные поступления: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64711,2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67429,1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104,</w:t>
            </w: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80,3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49334,1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52815,4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107,0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62,9</w:t>
            </w:r>
          </w:p>
        </w:tc>
      </w:tr>
      <w:tr w:rsidR="003D3D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Субвенции бюджетам субъектов Российской Федерации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15377,1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14613,7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95,0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17,4</w:t>
            </w:r>
          </w:p>
        </w:tc>
      </w:tr>
    </w:tbl>
    <w:p w:rsidR="003D3DBC" w:rsidRDefault="00CD0C2A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80910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DBC" w:rsidRDefault="00CD0C2A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lastRenderedPageBreak/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198870"/>
            <wp:effectExtent l="0" t="0" r="0" b="0"/>
            <wp:wrapSquare wrapText="largest"/>
            <wp:docPr id="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DBC" w:rsidRDefault="003D3DBC">
      <w:pPr>
        <w:jc w:val="center"/>
        <w:rPr>
          <w:color w:val="000000" w:themeColor="text1"/>
          <w:sz w:val="48"/>
          <w:szCs w:val="48"/>
        </w:rPr>
      </w:pPr>
    </w:p>
    <w:p w:rsidR="003D3DBC" w:rsidRDefault="003D3DBC">
      <w:pPr>
        <w:pStyle w:val="ae"/>
        <w:shd w:val="clear" w:color="auto" w:fill="FFFFFF"/>
        <w:spacing w:before="280" w:beforeAutospacing="0" w:after="0" w:afterAutospacing="0"/>
        <w:rPr>
          <w:color w:val="000000" w:themeColor="text1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Основную часть бюджетных ассигнований планируется направить на финансирование расходов по следующим разделам классификации расходов бюджетов: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0100 «Общегосударственные вопросы» - 36,5% (30646,0 тыс. рублей);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0500 «Жилищно-коммунальное хозяйство» – 41,8% (35144,8 тыс. рублей);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1000 «Социальная политика» - 16,5%(13859,4 тыс. рублей)</w:t>
      </w:r>
    </w:p>
    <w:p w:rsidR="003D3DBC" w:rsidRDefault="003D3DBC">
      <w:pPr>
        <w:pStyle w:val="ae"/>
        <w:shd w:val="clear" w:color="auto" w:fill="FFFFFF"/>
        <w:spacing w:before="280" w:beforeAutospacing="0" w:after="0" w:afterAutospacing="0"/>
        <w:rPr>
          <w:color w:val="000000" w:themeColor="text1"/>
          <w:sz w:val="28"/>
          <w:szCs w:val="28"/>
        </w:rPr>
      </w:pPr>
    </w:p>
    <w:p w:rsidR="003D3DBC" w:rsidRDefault="003D3DBC">
      <w:pPr>
        <w:ind w:firstLine="708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3D3DBC">
      <w:pPr>
        <w:spacing w:after="0" w:line="240" w:lineRule="auto"/>
        <w:rPr>
          <w:rFonts w:cs="TimesNewRomanPSMT"/>
          <w:color w:val="333333"/>
          <w:sz w:val="74"/>
          <w:szCs w:val="74"/>
        </w:rPr>
      </w:pPr>
    </w:p>
    <w:p w:rsidR="003D3DBC" w:rsidRDefault="00CD0C2A">
      <w:pPr>
        <w:spacing w:after="0" w:line="240" w:lineRule="auto"/>
        <w:rPr>
          <w:rFonts w:cs="TimesNewRomanPSMT"/>
          <w:color w:val="333333"/>
          <w:sz w:val="74"/>
          <w:szCs w:val="74"/>
        </w:rPr>
      </w:pPr>
      <w:r>
        <w:rPr>
          <w:rFonts w:cs="TimesNewRomanPSMT"/>
          <w:color w:val="333333"/>
          <w:sz w:val="74"/>
          <w:szCs w:val="74"/>
        </w:rPr>
        <w:lastRenderedPageBreak/>
        <w:t>Мероприятия в области социальной политики</w:t>
      </w:r>
    </w:p>
    <w:p w:rsidR="003D3DBC" w:rsidRDefault="003D3DBC">
      <w:pPr>
        <w:spacing w:after="0" w:line="240" w:lineRule="auto"/>
        <w:rPr>
          <w:rFonts w:cs="TimesNewRomanPSMT"/>
          <w:color w:val="333333"/>
          <w:sz w:val="32"/>
          <w:szCs w:val="32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в области социальной политики – это исполнение органами местного самоуправления в Санкт-Петербурге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отдельных государственных полномочий Санкт-Петербурга на содержание ребенка в семье опекуна и приемной семье и выплату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вознаграждения приемному родителю за счет средств субвенций из бюджета Санкт-Петербурга.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раздел социальная политика входят расходы на выплаты ежемесячной доплаты за стаж лицам, замещавшим должности муниципальной службы и расходы на выплаты пенсии за выслугу лет лицам, замещавшим муниципальные должности в соответствии с законом Санкт-Петербурга.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Распределение субвенций на исполнение отдельных государственных полномочий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на 2022г,  запланировано 14605,6 тыс. рублей, что на 763,7 тыс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 xml:space="preserve">ублей (95,0%) меньше утверждённых на 2021 год бюджетных ассигнований в связи с уменьшением количества приемных семей и детей, взятых под опеку и в приёмные семьи. Распределение субвенций на исполнение отдельного государственного полномочия по определению должностных лиц, уполномоченных составлять протоколы об административных правонарушениях на 2022 год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согласно Приложения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 xml:space="preserve"> № 10  к Закону Санкт-Петербурга «О бюджете Санкт-Петербурга на 2022 год и на плановый период 2023-2024 годов» составило 8,1 тыс. рублей.</w:t>
      </w:r>
    </w:p>
    <w:p w:rsidR="003D3DBC" w:rsidRDefault="003D3DBC">
      <w:pPr>
        <w:rPr>
          <w:color w:val="000000" w:themeColor="text1"/>
          <w:sz w:val="48"/>
          <w:szCs w:val="48"/>
        </w:rPr>
      </w:pPr>
    </w:p>
    <w:p w:rsidR="003D3DBC" w:rsidRDefault="003D3DBC">
      <w:pPr>
        <w:spacing w:after="0" w:line="240" w:lineRule="auto"/>
        <w:rPr>
          <w:b/>
          <w:color w:val="333333"/>
          <w:sz w:val="48"/>
          <w:szCs w:val="48"/>
        </w:rPr>
      </w:pPr>
    </w:p>
    <w:p w:rsidR="003D3DBC" w:rsidRDefault="003D3DBC">
      <w:pPr>
        <w:spacing w:after="0" w:line="240" w:lineRule="auto"/>
        <w:rPr>
          <w:b/>
          <w:color w:val="333333"/>
          <w:sz w:val="48"/>
          <w:szCs w:val="48"/>
        </w:rPr>
      </w:pPr>
    </w:p>
    <w:p w:rsidR="003D3DBC" w:rsidRDefault="003D3DBC">
      <w:pPr>
        <w:spacing w:after="0" w:line="240" w:lineRule="auto"/>
        <w:rPr>
          <w:b/>
          <w:color w:val="333333"/>
          <w:sz w:val="48"/>
          <w:szCs w:val="48"/>
        </w:rPr>
      </w:pPr>
    </w:p>
    <w:p w:rsidR="003D3DBC" w:rsidRDefault="00CD0C2A">
      <w:pPr>
        <w:spacing w:after="0" w:line="240" w:lineRule="auto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lastRenderedPageBreak/>
        <w:t>Муниципальные программы, ведомственные целевые программы на 2022 год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Жители округа принимают участие в публичных слушаниях по проекту решения о местном бюджете, где обсуждаются планируемые мероприятия, организованных в рамках муниципальных и ведомственных целевых программ.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Ведомственные целевые программы на 2022 год утверждены Постановлением Местной Администрации МО Невская застава  от 12.10.2021г. №40-п. Сумма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средств, планируемых по муниципальным и ведомственным целевым программам составляет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38651,1 тыс. руб. (46,0%)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1.Ведомственная целевая программа муниципального образования МО Невская застава ««Организация  и  осуществление  мероприятий  по  защите  населения  и  территорий  от  чрезвычайных  ситуаций  природного  и  техногенного  характера»</w:t>
      </w:r>
      <w:r>
        <w:rPr>
          <w:rFonts w:ascii="TimesNewRomanPSMT" w:hAnsi="TimesNewRomanPSMT" w:cs="TimesNewRomanPSMT"/>
          <w:sz w:val="28"/>
          <w:szCs w:val="28"/>
        </w:rPr>
        <w:t xml:space="preserve"> на 2022 г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>
        <w:rPr>
          <w:rFonts w:cs="TimesNewRomanPS-BoldItalicMT"/>
          <w:bCs/>
          <w:i/>
          <w:iCs/>
          <w:sz w:val="28"/>
          <w:szCs w:val="28"/>
        </w:rPr>
        <w:t>50,0</w:t>
      </w: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, 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на программы - </w:t>
      </w:r>
      <w:r>
        <w:rPr>
          <w:rFonts w:ascii="Calibri-BoldItalic" w:hAnsi="Calibri-BoldItalic" w:cs="Calibri-BoldItalic"/>
          <w:bCs/>
          <w:i/>
          <w:iCs/>
          <w:sz w:val="28"/>
          <w:szCs w:val="28"/>
        </w:rPr>
        <w:t>0,1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Граждане, проживающие на территории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Количество неработающих граждан, посетивших мероприятия по подготовке и обучению неработающего населения способам защиты и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действиям в чрезвычайных ситуациях, а также способам защиты от опасностей, возникающих при ведении военных действий или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вследствие этих действий - не менее 100 чел;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Количество разработанных, изданных и распространенных печатных изданий не менее 1000шт.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Привлечение неработающего населения округа к участию в различных мероприятиях по линии гражданской обороны, проводимых Администрацией Невского района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защиты населения и территории от их последствий в информационно-телекоммуникационной сети «Интернет» на официальном сайте МО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МО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Невская застава; в муниципальной газете «Невская застава»;  на информационных стендах.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макетов, изготовление и распространение печатных изданий по ГОЧС (памятки, листовки, листовки, брошюры)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>
        <w:rPr>
          <w:sz w:val="24"/>
          <w:szCs w:val="24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Муниципальная программа муниципального образования МО Невская застава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 Невская застава»</w:t>
      </w: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на 2022 год.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73,0. 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на программы- 0,</w:t>
      </w:r>
      <w:r>
        <w:rPr>
          <w:rFonts w:cs="TimesNewRomanPS-BoldItalicMT"/>
          <w:bCs/>
          <w:i/>
          <w:iCs/>
          <w:sz w:val="28"/>
          <w:szCs w:val="28"/>
        </w:rPr>
        <w:t>2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Граждане, проживающие на территории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количество граждан, проживающих на территории МО Невская застава, принимающих участие в реализации мероприятий программы –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не менее 2000 чел в год;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количество выпущенных печатных изданий  не менее 2000шт;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макетов, издание брошюр (буклетов) по противодействию и профилактике терроризма и экстремизма, распространение среди населения муниципального образования,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информирование населения МО о мероприятиях Программы, проводимых органами местного самоуправления и районными администрациями, в том числе путем размещения в муниципальных средствах массовой информации анонсов мероприятий и репортажей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их проведении,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Участие в заседаниях антитеррористической комиссии администрации Невского района. Размещение материалов профилактической направленности на официальном сайте муниципального образования в информационно-телекоммуникационной сети «Интернет» 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>
        <w:rPr>
          <w:bCs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Ведомственная целевая программа муниципального образования МО Невская застава «Благоустройство  территории и охрана окружающей среды» на 2022 год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</w:t>
      </w:r>
      <w:r>
        <w:rPr>
          <w:rFonts w:cs="TimesNewRomanPS-BoldItalicMT"/>
          <w:bCs/>
          <w:i/>
          <w:iCs/>
          <w:sz w:val="28"/>
          <w:szCs w:val="28"/>
        </w:rPr>
        <w:t>35144,8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на программы – </w:t>
      </w:r>
      <w:r>
        <w:rPr>
          <w:rFonts w:cs="TimesNewRomanPS-BoldItalicMT"/>
          <w:bCs/>
          <w:i/>
          <w:iCs/>
          <w:sz w:val="28"/>
          <w:szCs w:val="28"/>
        </w:rPr>
        <w:t>90,9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3D3DBC" w:rsidRDefault="003D3DBC">
      <w:pPr>
        <w:spacing w:after="0" w:line="240" w:lineRule="auto"/>
        <w:rPr>
          <w:rFonts w:cs="TimesNewRomanPSMT"/>
          <w:b/>
          <w:color w:val="333333"/>
          <w:sz w:val="32"/>
          <w:szCs w:val="32"/>
        </w:rPr>
      </w:pPr>
    </w:p>
    <w:p w:rsidR="003D3DBC" w:rsidRDefault="00CD0C2A">
      <w:pPr>
        <w:spacing w:after="0" w:line="240" w:lineRule="auto"/>
        <w:rPr>
          <w:rFonts w:cs="TimesNewRomanPSMT"/>
          <w:b/>
          <w:color w:val="333333"/>
          <w:sz w:val="32"/>
          <w:szCs w:val="32"/>
        </w:rPr>
      </w:pPr>
      <w:r>
        <w:rPr>
          <w:rFonts w:cs="TimesNewRomanPSMT"/>
          <w:b/>
          <w:color w:val="333333"/>
          <w:sz w:val="32"/>
          <w:szCs w:val="32"/>
        </w:rPr>
        <w:t>Планируемый показатель: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W w:w="8140" w:type="dxa"/>
        <w:tblInd w:w="108" w:type="dxa"/>
        <w:tblLayout w:type="fixed"/>
        <w:tblLook w:val="04A0"/>
      </w:tblPr>
      <w:tblGrid>
        <w:gridCol w:w="480"/>
        <w:gridCol w:w="5542"/>
        <w:gridCol w:w="1059"/>
        <w:gridCol w:w="1059"/>
      </w:tblGrid>
      <w:tr w:rsidR="003D3DBC">
        <w:trPr>
          <w:trHeight w:val="345"/>
        </w:trPr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3D3DBC" w:rsidRDefault="003D3DBC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BC" w:rsidRDefault="00CD0C2A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Спил деревьев-угроз, омолаживание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3D3DBC">
        <w:trPr>
          <w:trHeight w:val="345"/>
        </w:trPr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3D3DBC" w:rsidRDefault="003D3DBC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BC" w:rsidRDefault="00CD0C2A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Ремонт асфальтового покрытия (ямочный)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BC" w:rsidRDefault="00CD0C2A" w:rsidP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кв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.м</w:t>
            </w:r>
            <w:proofErr w:type="gramEnd"/>
          </w:p>
        </w:tc>
      </w:tr>
      <w:tr w:rsidR="003D3DBC">
        <w:trPr>
          <w:trHeight w:val="345"/>
        </w:trPr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3D3DBC" w:rsidRDefault="003D3DBC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BC" w:rsidRDefault="00CD0C2A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Установка газонного ограждения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пм</w:t>
            </w:r>
          </w:p>
        </w:tc>
      </w:tr>
      <w:tr w:rsidR="003D3DBC">
        <w:trPr>
          <w:trHeight w:val="345"/>
        </w:trPr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3D3DBC" w:rsidRDefault="003D3DBC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BC" w:rsidRDefault="00CD0C2A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Установка малых архитектурных форм (скамейки, вазоны, урны, полусферы, стенды)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шт.</w:t>
            </w:r>
          </w:p>
        </w:tc>
      </w:tr>
      <w:tr w:rsidR="003D3DBC">
        <w:trPr>
          <w:trHeight w:val="710"/>
        </w:trPr>
        <w:tc>
          <w:tcPr>
            <w:tcW w:w="480" w:type="dxa"/>
            <w:tcBorders>
              <w:right w:val="single" w:sz="4" w:space="0" w:color="000000"/>
            </w:tcBorders>
            <w:vAlign w:val="center"/>
          </w:tcPr>
          <w:p w:rsidR="003D3DBC" w:rsidRDefault="003D3DBC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BC" w:rsidRDefault="00CD0C2A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Проведение комплексного благоустройства в соответствии с  проектно сметной документацией по приоритетной программе «Формирование комфортной городской среды»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BC" w:rsidRDefault="003D3DBC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  <w:p w:rsidR="003D3DBC" w:rsidRDefault="00CD0C2A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адреса</w:t>
            </w:r>
          </w:p>
          <w:p w:rsidR="003D3DBC" w:rsidRDefault="003D3DBC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</w:tbl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D3DBC" w:rsidRDefault="00CD0C2A">
      <w:pPr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  <w:r>
        <w:rPr>
          <w:rFonts w:eastAsia="Calibri" w:cs="TimesNewRomanPSMT"/>
          <w:b/>
          <w:color w:val="333333"/>
          <w:sz w:val="32"/>
          <w:szCs w:val="32"/>
        </w:rPr>
        <w:t>Планируемые мероприятия:</w:t>
      </w:r>
    </w:p>
    <w:p w:rsidR="003D3DBC" w:rsidRDefault="003D3DBC">
      <w:pPr>
        <w:spacing w:after="0" w:line="240" w:lineRule="auto"/>
        <w:rPr>
          <w:rFonts w:eastAsia="Calibri" w:cs="TimesNewRomanPSMT"/>
          <w:b/>
          <w:color w:val="333333"/>
          <w:sz w:val="32"/>
          <w:szCs w:val="32"/>
        </w:rPr>
      </w:pP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 соответствии с адресной программой планируется</w:t>
      </w:r>
      <w:r w:rsidR="0075288F">
        <w:rPr>
          <w:rFonts w:eastAsia="Calibri" w:cs="TimesNewRomanPSMT"/>
          <w:sz w:val="28"/>
          <w:szCs w:val="28"/>
        </w:rPr>
        <w:t xml:space="preserve"> осуществить</w:t>
      </w:r>
      <w:r>
        <w:rPr>
          <w:rFonts w:eastAsia="Calibri" w:cs="TimesNewRomanPSMT"/>
          <w:sz w:val="28"/>
          <w:szCs w:val="28"/>
        </w:rPr>
        <w:t xml:space="preserve"> работ</w:t>
      </w:r>
      <w:r w:rsidR="0075288F">
        <w:rPr>
          <w:rFonts w:eastAsia="Calibri" w:cs="TimesNewRomanPSMT"/>
          <w:sz w:val="28"/>
          <w:szCs w:val="28"/>
        </w:rPr>
        <w:t>ы</w:t>
      </w:r>
      <w:r>
        <w:rPr>
          <w:rFonts w:eastAsia="Calibri" w:cs="TimesNewRomanPSMT"/>
          <w:sz w:val="28"/>
          <w:szCs w:val="28"/>
        </w:rPr>
        <w:t xml:space="preserve"> по </w:t>
      </w:r>
      <w:r>
        <w:rPr>
          <w:rFonts w:ascii="TimesNewRomanPSMT" w:eastAsia="Calibri" w:hAnsi="TimesNewRomanPSMT" w:cs="TimesNewRomanPSMT"/>
          <w:sz w:val="28"/>
          <w:szCs w:val="28"/>
        </w:rPr>
        <w:t>комплексн</w:t>
      </w:r>
      <w:r>
        <w:rPr>
          <w:rFonts w:eastAsia="Calibri" w:cs="TimesNewRomanPSMT"/>
          <w:sz w:val="28"/>
          <w:szCs w:val="28"/>
        </w:rPr>
        <w:t>ому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благоустройств</w:t>
      </w:r>
      <w:r>
        <w:rPr>
          <w:rFonts w:eastAsia="Calibri" w:cs="TimesNewRomanPSMT"/>
          <w:sz w:val="28"/>
          <w:szCs w:val="28"/>
        </w:rPr>
        <w:t xml:space="preserve">у </w:t>
      </w:r>
      <w:r w:rsidR="0075288F">
        <w:rPr>
          <w:rFonts w:eastAsia="Calibri" w:cs="TimesNewRomanPSMT"/>
          <w:sz w:val="28"/>
          <w:szCs w:val="28"/>
        </w:rPr>
        <w:t>в соответствии с проектно-сметной документацией</w:t>
      </w:r>
      <w:r>
        <w:rPr>
          <w:rFonts w:eastAsia="Calibri" w:cs="TimesNewRomanPSMT"/>
          <w:sz w:val="28"/>
          <w:szCs w:val="28"/>
        </w:rPr>
        <w:t xml:space="preserve">  по адресам</w:t>
      </w:r>
      <w:r w:rsidR="0075288F">
        <w:rPr>
          <w:rFonts w:eastAsia="Calibri" w:cs="TimesNewRomanPSMT"/>
          <w:sz w:val="28"/>
          <w:szCs w:val="28"/>
        </w:rPr>
        <w:t>:</w:t>
      </w:r>
      <w:r>
        <w:rPr>
          <w:rFonts w:eastAsia="Calibri" w:cs="TimesNewRomanPSMT"/>
          <w:sz w:val="28"/>
          <w:szCs w:val="28"/>
        </w:rPr>
        <w:t xml:space="preserve"> </w:t>
      </w:r>
      <w:proofErr w:type="spellStart"/>
      <w:r>
        <w:rPr>
          <w:rFonts w:eastAsia="Calibri" w:cs="TimesNewRomanPSMT"/>
          <w:sz w:val="28"/>
          <w:szCs w:val="28"/>
        </w:rPr>
        <w:t>Обуховской</w:t>
      </w:r>
      <w:proofErr w:type="spellEnd"/>
      <w:r>
        <w:rPr>
          <w:rFonts w:eastAsia="Calibri" w:cs="TimesNewRomanPSMT"/>
          <w:sz w:val="28"/>
          <w:szCs w:val="28"/>
        </w:rPr>
        <w:t xml:space="preserve"> Обороны пр. д.90, </w:t>
      </w:r>
      <w:proofErr w:type="spellStart"/>
      <w:r>
        <w:rPr>
          <w:rFonts w:eastAsia="Calibri" w:cs="TimesNewRomanPSMT"/>
          <w:sz w:val="28"/>
          <w:szCs w:val="28"/>
        </w:rPr>
        <w:t>Ольминского</w:t>
      </w:r>
      <w:proofErr w:type="spellEnd"/>
      <w:r>
        <w:rPr>
          <w:rFonts w:eastAsia="Calibri" w:cs="TimesNewRomanPSMT"/>
          <w:sz w:val="28"/>
          <w:szCs w:val="28"/>
        </w:rPr>
        <w:t xml:space="preserve"> ул. д.8, Крупской ул. д.7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>
        <w:rPr>
          <w:rFonts w:eastAsia="Calibri" w:cs="TimesNewRomanPSMT"/>
          <w:sz w:val="28"/>
          <w:szCs w:val="28"/>
        </w:rPr>
        <w:t xml:space="preserve">а также продолжить работу по </w:t>
      </w:r>
      <w:r>
        <w:rPr>
          <w:rFonts w:ascii="TimesNewRomanPSMT" w:eastAsia="Calibri" w:hAnsi="TimesNewRomanPSMT" w:cs="TimesNewRomanPSMT"/>
          <w:sz w:val="28"/>
          <w:szCs w:val="28"/>
        </w:rPr>
        <w:t>установк</w:t>
      </w:r>
      <w:r>
        <w:rPr>
          <w:rFonts w:eastAsia="Calibri" w:cs="TimesNewRomanPSMT"/>
          <w:sz w:val="28"/>
          <w:szCs w:val="28"/>
        </w:rPr>
        <w:t>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малых архитектурных форм</w:t>
      </w:r>
      <w:r>
        <w:rPr>
          <w:rFonts w:eastAsia="Calibri" w:cs="TimesNewRomanPSMT"/>
          <w:sz w:val="28"/>
          <w:szCs w:val="28"/>
        </w:rPr>
        <w:t>, у</w:t>
      </w:r>
      <w:r>
        <w:rPr>
          <w:rFonts w:ascii="TimesNewRomanPSMT" w:eastAsia="Calibri" w:hAnsi="TimesNewRomanPSMT" w:cs="TimesNewRomanPSMT"/>
          <w:sz w:val="28"/>
          <w:szCs w:val="28"/>
        </w:rPr>
        <w:t>борк</w:t>
      </w:r>
      <w:r>
        <w:rPr>
          <w:rFonts w:eastAsia="Calibri" w:cs="TimesNewRomanPSMT"/>
          <w:sz w:val="28"/>
          <w:szCs w:val="28"/>
        </w:rPr>
        <w:t>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территорий зеленых насаждений общего пользования местного значения, в том числе расположенных на них элементах благоустройства, ремонт объектов зеленых насаждений, ямочный ремонт. 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Проведение санитарных рубок, посадка деревьев и кустарников</w:t>
      </w:r>
    </w:p>
    <w:p w:rsidR="003D3DBC" w:rsidRDefault="003D3DBC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FF0000"/>
          <w:sz w:val="28"/>
          <w:szCs w:val="28"/>
        </w:rPr>
      </w:pPr>
    </w:p>
    <w:p w:rsidR="003D3DBC" w:rsidRDefault="00CD0C2A">
      <w:pP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Ведомственная целевая программа муниципального образования МО Невская застава </w:t>
      </w:r>
      <w:r>
        <w:rPr>
          <w:rFonts w:ascii="TimesNewRomanPSMT" w:hAnsi="TimesNewRomanPSMT" w:cs="TimesNewRomanPSMT"/>
          <w:sz w:val="28"/>
          <w:szCs w:val="28"/>
        </w:rPr>
        <w:t xml:space="preserve">"Организация и проведение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досуговых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мероприятий  для жителей МО Невская застава"  на 2022 год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 430,5 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lastRenderedPageBreak/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 по программам– 1,1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жители, проживающие на территории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Количества граждан, посещающих проводимые мероприятия, не менее 1</w:t>
      </w:r>
      <w:r w:rsidR="0075288F">
        <w:rPr>
          <w:rFonts w:eastAsia="Calibri" w:cs="TimesNewRomanPSMT"/>
          <w:sz w:val="28"/>
          <w:szCs w:val="28"/>
        </w:rPr>
        <w:t>35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чел.;</w:t>
      </w:r>
      <w:r>
        <w:rPr>
          <w:rFonts w:ascii="TimesNewRomanPSMT" w:hAnsi="TimesNewRomanPSMT" w:cs="TimesNewRomanPSMT"/>
          <w:sz w:val="28"/>
          <w:szCs w:val="28"/>
        </w:rPr>
        <w:t xml:space="preserve"> к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оличество проводимых мероприятий – не менее </w:t>
      </w:r>
      <w:r w:rsidR="0075288F">
        <w:rPr>
          <w:rFonts w:eastAsia="Calibri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Организация  не менее </w:t>
      </w:r>
      <w:r w:rsidR="0075288F">
        <w:rPr>
          <w:rFonts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 автобусных экскурсий (за пределы Санкт-Петербурга)  для жителей МО Невская застава</w:t>
      </w: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MT" w:eastAsia="Calibri" w:hAnsi="TimesNewRomanPSMT" w:cs="TimesNewRomanPSMT"/>
          <w:sz w:val="28"/>
          <w:szCs w:val="28"/>
        </w:rPr>
        <w:t>Ведомственная целевая программа муниципального образования МО Невская застава «Участие в реализации мер по профилактике дорожно-транспортного травматизма на территории муниципального образования МО Невская застава» на 2022 год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Сумма средств, тыс. рублей –1210,0 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– 3,1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и подростки, проживающие на территории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Планируемый показатель: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Увеличение количества детей дошкольного и младшего школьного возраста (от 5 до 9 лет) вовлеченных в мероприятия, которые направлены на профилактику дорожно-транспортного травматизма, не менее 1000 чел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Разработка и реализация мероприятий, направленных на профилактику детского травматизма: издание и распространение  брошюр по профилактике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дорожно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транспортного травматизма, правилам дорожного движения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 xml:space="preserve"> Информирование населения округа о поведении на дороге через СМИ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Участие совместно с  ГИБДД округа в районных и городских соревнованиях. 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Размещение, содержание и ремонт искусственных дорожных неровностей в соответствии с адресной программой</w:t>
      </w: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Ведомственная целевая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веществ, наркомании» на 2022 год.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lastRenderedPageBreak/>
        <w:t>Сумма средств, тыс. рублей – 37,0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по </w:t>
      </w:r>
      <w:proofErr w:type="spell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программвм</w:t>
      </w:r>
      <w:proofErr w:type="spell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– 0,1</w:t>
      </w:r>
    </w:p>
    <w:p w:rsidR="003D3DBC" w:rsidRDefault="003D3DBC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Целевая аудитория: Все жители, проживающие на территории муниципального образования.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Планируемый показатель: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Количество выпущенных печатных изданий тиражом не менее 1000шт., количество граждан, принимающих участие в реализации мероприятий программы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–н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е менее 1000 чел в год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Разработка макетов, издание и распространение брошюр и буклетов по профилактике 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 в Санкт-Петербурге; 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наркомании.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Информирование и консультирование жителей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психоактивных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веществ, наркомании на территории муниципального образования Невская застава</w:t>
      </w: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7.Ведомственная целевая программа муниципального образования МО Невская застава «Организация и проведение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местных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 xml:space="preserve"> и участие в организации и проведении городских праздничных и иных зрелищных мероприятий, по сохранению местных традиций и обрядов» на 2022 год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1581,4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по программам – 4,1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Целевая аудитория: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Все жители, проживающие на территории муниципального образования.</w:t>
      </w:r>
    </w:p>
    <w:p w:rsidR="003D3DBC" w:rsidRDefault="00CD0C2A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Планируемый показатель: Количество праздничных мероприятий, организованных органами местного самоуправления, не менее 3 в течение года, привлечение  к участию в мероприятиях  порядка 1020 чел.- жителей МО в год</w:t>
      </w:r>
    </w:p>
    <w:p w:rsidR="003D3DBC" w:rsidRDefault="00CD0C2A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color w:val="333333"/>
          <w:sz w:val="28"/>
          <w:szCs w:val="28"/>
        </w:rPr>
        <w:t>Мероприятия программы: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Участие в организации и проведении праздничных мероприятий, посвященных «Дню Победы советского народа в Великой отечественной войне 1941-1945 годов», вручение подарков Ветеранам и инвалидам ВОВ, блокадникам;</w:t>
      </w:r>
    </w:p>
    <w:p w:rsidR="003D3DBC" w:rsidRDefault="00CD0C2A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lastRenderedPageBreak/>
        <w:t>Участие в проведении мероприятий посвященных:  Дню знаний с вручением подарков первоклассникам и отличникам учебы; Дня инвалидов</w:t>
      </w:r>
    </w:p>
    <w:p w:rsidR="003D3DBC" w:rsidRDefault="00CD0C2A">
      <w:pPr>
        <w:spacing w:line="240" w:lineRule="atLeast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8. Муниципальная программа муниципального образования МО Невская застава  « Содействие развитию малого бизнеса на территории внутригородского муниципального образования Санкт-Петербурга муниципальный округ Невская застава» на 2022 год.</w:t>
      </w:r>
    </w:p>
    <w:p w:rsidR="003D3DBC" w:rsidRDefault="00CD0C2A">
      <w:pPr>
        <w:spacing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48,0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– 0,1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Целевая аудитория: все жители, проживающие на территории муниципального образования.</w:t>
      </w:r>
    </w:p>
    <w:p w:rsidR="003D3DBC" w:rsidRDefault="00CD0C2A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количество выпущенных брошюр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–н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е менее 1000шт, количество участников, принимающих участие в  мероприятиях не менее 1000 человек.</w:t>
      </w:r>
    </w:p>
    <w:p w:rsidR="003D3DBC" w:rsidRDefault="00CD0C2A">
      <w:pPr>
        <w:spacing w:line="240" w:lineRule="auto"/>
        <w:ind w:firstLine="34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Мероприятия программы: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Оказание  консультационной, организационно-методической  поддержки  субъектов малого предпринимательства, ведущих хозяйственную деятельность на территории муниципального образования,  и зарегистрированных в налоговых органах Невского района  Санкт-Петербурга, Взаимодействие с Советом  по малому  предпринимательству при Санкт-Петербурга,  а также  Общественным советом   по малому предпринимательству при   Администрации Невского  района   в целях обеспечения сочетания интересов  Санкт-Петербурга  и   муниципального образования в области развития малого предпринимательства,   координации  деятельности   по реализации  мероприятий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 xml:space="preserve">  программ развития субъектов малого предпринимательства; Информирование жителей МО Невская застава через муниципальную газету «Невская застава» и сайт муниципального образования  о ходе реализации плана развития малого бизнеса в Санкт-Петербурге (в течение года в пределах средств на содержание местной администрации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 xml:space="preserve"> )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;</w:t>
      </w:r>
      <w:r>
        <w:rPr>
          <w:sz w:val="24"/>
          <w:szCs w:val="24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Выпуск брошюр по вопросам содействия развитию малого бизнеса на территории муниципального образования МО Невская застава, содержащие информацию с пояснениями к законодательству, раскрытие основных моментов по государственным регистрациям, правам и обязанностям налогоплательщиков, освещение темы выбора режима налогообложения, пояснения по упрощенной модели налогообложения, налоговым проверкам, реорганизация и ликвидация юридических лиц</w:t>
      </w:r>
    </w:p>
    <w:p w:rsidR="003D3DBC" w:rsidRDefault="003D3DBC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9.Муниципальная программа ««Военно-патриотическое воспитание граждан» на 2022 год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Планируемый показатель: выпуск информационных брошюр не менее 1000 </w:t>
      </w:r>
      <w:proofErr w:type="spellStart"/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шт</w:t>
      </w:r>
      <w:proofErr w:type="spellEnd"/>
      <w:proofErr w:type="gramEnd"/>
    </w:p>
    <w:p w:rsidR="003D3DBC" w:rsidRDefault="003D3DBC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30,0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– 0,08</w:t>
      </w: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Разработка, изготовление и распространение памяток, брошюр, пособий, листовок и других информационных материалов среди населения Муниципального образования по вопросам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военно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– патриотического воспитания;</w:t>
      </w: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Размещение материалов военно-патриотической направленности на официальном сайте муниципального образования в сети «Интернет» и газете Невская застава</w:t>
      </w: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10.</w:t>
      </w:r>
      <w: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</w:t>
      </w:r>
    </w:p>
    <w:p w:rsidR="003D3DBC" w:rsidRDefault="00CD0C2A">
      <w:pPr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Планируемый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показатель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:п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>ривлечение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 к участию в мероприятиях  порядка 1000 чел.- жителей МО ежегодно</w:t>
      </w:r>
    </w:p>
    <w:p w:rsidR="003D3DBC" w:rsidRDefault="003D3DBC">
      <w:pPr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Сумма средств, тыс. рублей – 46,4</w:t>
      </w:r>
    </w:p>
    <w:p w:rsidR="003D3DBC" w:rsidRDefault="00CD0C2A">
      <w:pPr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% к общей сумме расходов – 0,1</w:t>
      </w: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Создание информационных материалов и средств наглядной агитации для распространения среди населения по вопросу обращения с отходами </w:t>
      </w:r>
    </w:p>
    <w:p w:rsidR="003D3DBC" w:rsidRDefault="00CD0C2A">
      <w:pPr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Опубликование в газете «Невская застава» и на официальном сайте  материалов, направленных на формирование экологической культуры, воспитание бережного отношения к природе</w:t>
      </w:r>
    </w:p>
    <w:p w:rsidR="0075288F" w:rsidRDefault="0075288F">
      <w:pPr>
        <w:ind w:firstLine="34"/>
        <w:rPr>
          <w:rFonts w:cs="TimesNewRomanPSMT"/>
          <w:color w:val="333333"/>
          <w:sz w:val="72"/>
          <w:szCs w:val="72"/>
        </w:rPr>
      </w:pPr>
    </w:p>
    <w:p w:rsidR="0075288F" w:rsidRDefault="0075288F">
      <w:pPr>
        <w:ind w:firstLine="34"/>
        <w:rPr>
          <w:rFonts w:cs="TimesNewRomanPSMT"/>
          <w:color w:val="333333"/>
          <w:sz w:val="72"/>
          <w:szCs w:val="72"/>
        </w:rPr>
      </w:pPr>
    </w:p>
    <w:p w:rsidR="003D3DBC" w:rsidRDefault="00CD0C2A">
      <w:pPr>
        <w:ind w:firstLine="34"/>
        <w:rPr>
          <w:rFonts w:cs="TimesNewRomanPSMT"/>
          <w:color w:val="333333"/>
          <w:sz w:val="72"/>
          <w:szCs w:val="72"/>
        </w:rPr>
      </w:pPr>
      <w:r>
        <w:rPr>
          <w:rFonts w:cs="TimesNewRomanPSMT"/>
          <w:color w:val="333333"/>
          <w:sz w:val="72"/>
          <w:szCs w:val="72"/>
        </w:rPr>
        <w:lastRenderedPageBreak/>
        <w:t>Уровень долговой нагрузки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Муниципальное образование Невская застава не имеет долговых и кредитных обязательств. Отсутствие данных обязательств - один из принципов бюджетной политики муниципального образования.</w:t>
      </w:r>
    </w:p>
    <w:p w:rsidR="003D3DBC" w:rsidRDefault="003D3DBC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32"/>
          <w:szCs w:val="32"/>
        </w:rPr>
      </w:pPr>
    </w:p>
    <w:p w:rsidR="003D3DBC" w:rsidRDefault="003D3DBC">
      <w:pPr>
        <w:ind w:firstLine="34"/>
        <w:rPr>
          <w:rFonts w:cs="TimesNewRomanPSMT"/>
          <w:color w:val="333333"/>
          <w:sz w:val="32"/>
          <w:szCs w:val="32"/>
        </w:rPr>
      </w:pPr>
    </w:p>
    <w:p w:rsidR="003D3DBC" w:rsidRDefault="00CD0C2A">
      <w:pPr>
        <w:rPr>
          <w:rFonts w:cs="TimesNewRomanPSMT"/>
          <w:color w:val="333333"/>
          <w:sz w:val="72"/>
          <w:szCs w:val="72"/>
        </w:rPr>
      </w:pPr>
      <w:r>
        <w:rPr>
          <w:rFonts w:cs="TimesNewRomanPSMT"/>
          <w:color w:val="333333"/>
          <w:sz w:val="72"/>
          <w:szCs w:val="72"/>
        </w:rPr>
        <w:t>Межбюджетные отношения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Муниципальное образование Невская застава получает межбюджетные трансферты в виде субвенций из бюджета Санкт-Петербурга на выполнение отдельных государственных полномочий Санкт-Петербурга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f1"/>
        <w:tblW w:w="10314" w:type="dxa"/>
        <w:tblLayout w:type="fixed"/>
        <w:tblLook w:val="04A0"/>
      </w:tblPr>
      <w:tblGrid>
        <w:gridCol w:w="7275"/>
        <w:gridCol w:w="3039"/>
      </w:tblGrid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Цель субвенции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2022г</w:t>
            </w:r>
          </w:p>
        </w:tc>
      </w:tr>
      <w:tr w:rsidR="003D3DBC">
        <w:trPr>
          <w:trHeight w:val="808"/>
        </w:trPr>
        <w:tc>
          <w:tcPr>
            <w:tcW w:w="7274" w:type="dxa"/>
          </w:tcPr>
          <w:p w:rsidR="003D3DBC" w:rsidRDefault="003D3DBC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Тыс. руб.</w:t>
            </w:r>
          </w:p>
        </w:tc>
      </w:tr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2178,2</w:t>
            </w:r>
          </w:p>
        </w:tc>
      </w:tr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Содержание ребенка в семье опекуна и в приёмной семье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5814,5</w:t>
            </w:r>
          </w:p>
        </w:tc>
      </w:tr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Вознаграждение, причитающееся приёмному родителю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6612,9</w:t>
            </w:r>
          </w:p>
        </w:tc>
      </w:tr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Определение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8,1</w:t>
            </w:r>
          </w:p>
        </w:tc>
      </w:tr>
      <w:tr w:rsidR="003D3DBC">
        <w:tc>
          <w:tcPr>
            <w:tcW w:w="7274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3039" w:type="dxa"/>
          </w:tcPr>
          <w:p w:rsidR="003D3DBC" w:rsidRDefault="00CD0C2A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14613,7</w:t>
            </w:r>
          </w:p>
        </w:tc>
      </w:tr>
    </w:tbl>
    <w:p w:rsidR="003D3DBC" w:rsidRDefault="003D3DBC">
      <w:pPr>
        <w:ind w:firstLine="34"/>
        <w:rPr>
          <w:rFonts w:ascii="TimesNewRomanPSMT" w:eastAsia="Calibri" w:hAnsi="TimesNewRomanPSMT" w:cs="TimesNewRomanPSMT"/>
          <w:sz w:val="28"/>
          <w:szCs w:val="28"/>
        </w:rPr>
      </w:pPr>
    </w:p>
    <w:p w:rsidR="003D3DBC" w:rsidRDefault="00CD0C2A">
      <w:pPr>
        <w:rPr>
          <w:rFonts w:cs="TimesNewRomanPSMT"/>
          <w:color w:val="333333"/>
          <w:sz w:val="72"/>
          <w:szCs w:val="72"/>
        </w:rPr>
      </w:pPr>
      <w:r>
        <w:rPr>
          <w:rFonts w:cs="TimesNewRomanPSMT"/>
          <w:color w:val="333333"/>
          <w:sz w:val="72"/>
          <w:szCs w:val="72"/>
        </w:rPr>
        <w:t>Глоссарий</w:t>
      </w:r>
    </w:p>
    <w:p w:rsidR="003D3DBC" w:rsidRDefault="003D3DBC">
      <w:pPr>
        <w:rPr>
          <w:rFonts w:ascii="TimesNewRomanPSMT" w:hAnsi="TimesNewRomanPSMT" w:cs="TimesNewRomanPSMT"/>
          <w:color w:val="333333"/>
          <w:sz w:val="12"/>
          <w:szCs w:val="12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Бюджет </w:t>
      </w:r>
      <w:r>
        <w:rPr>
          <w:rFonts w:ascii="TimesNewRomanPSMT" w:hAnsi="TimesNewRomanPSMT" w:cs="TimesNewRomanPSMT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Ведомственная целевая программа </w:t>
      </w:r>
      <w:r>
        <w:rPr>
          <w:rFonts w:ascii="TimesNewRomanPSMT" w:hAnsi="TimesNewRomanPSMT" w:cs="TimesNewRomanPSMT"/>
          <w:sz w:val="28"/>
          <w:szCs w:val="28"/>
        </w:rPr>
        <w:t xml:space="preserve">- увязанный по задачам, ресурсам, исполнителям и срокам комплекс мероприятий, направленный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нарешение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системных проблем в области экономического, социального и культурного развития муниципального образования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расходов бюджета над его доходами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Дотации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их использования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Доходы бюджета </w:t>
      </w:r>
      <w:r>
        <w:rPr>
          <w:rFonts w:ascii="TimesNewRomanPSMT" w:hAnsi="TimesNewRomanPSMT" w:cs="TimesNewRomanPSMT"/>
          <w:sz w:val="28"/>
          <w:szCs w:val="28"/>
        </w:rPr>
        <w:t>– поступающие в бюджет денежные средства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Расходы бюджета </w:t>
      </w:r>
      <w:r>
        <w:rPr>
          <w:rFonts w:ascii="TimesNewRomanPSMT" w:hAnsi="TimesNewRomanPSMT" w:cs="TimesNewRomanPSMT"/>
          <w:sz w:val="28"/>
          <w:szCs w:val="28"/>
        </w:rPr>
        <w:t>– выплачиваемые из бюджета денежные средства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Межбюджетные трансферты </w:t>
      </w:r>
      <w:r>
        <w:rPr>
          <w:rFonts w:ascii="TimesNewRomanPSMT" w:hAnsi="TimesNewRomanPSMT" w:cs="TimesNewRomanPSMT"/>
          <w:sz w:val="28"/>
          <w:szCs w:val="28"/>
        </w:rPr>
        <w:t>- средства, предоставляемые одним бюджетом бюджетной системы Российской Федерации другому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бюджету бюджетной системы Российской Федерации</w:t>
      </w: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Профицит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бюджета </w:t>
      </w:r>
      <w:r>
        <w:rPr>
          <w:rFonts w:ascii="TimesNewRomanPSMT" w:hAnsi="TimesNewRomanPSMT" w:cs="TimesNewRomanPSMT"/>
          <w:sz w:val="28"/>
          <w:szCs w:val="28"/>
        </w:rPr>
        <w:t>– превышение доходов бюджета над его расходами</w:t>
      </w:r>
    </w:p>
    <w:p w:rsidR="003D3DBC" w:rsidRDefault="003D3DB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DBC" w:rsidRDefault="003D3DB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Расходные обязательства </w:t>
      </w:r>
      <w:r>
        <w:rPr>
          <w:rFonts w:ascii="TimesNewRomanPSMT" w:hAnsi="TimesNewRomanPSMT" w:cs="TimesNewRomanPSMT"/>
          <w:sz w:val="28"/>
          <w:szCs w:val="28"/>
        </w:rPr>
        <w:t xml:space="preserve"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местного бюджета </w:t>
      </w:r>
    </w:p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ind w:firstLine="34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Субвенции </w:t>
      </w:r>
      <w:r>
        <w:rPr>
          <w:rFonts w:ascii="TimesNewRomanPSMT" w:hAnsi="TimesNewRomanPSMT" w:cs="TimesNewRomanPSMT"/>
          <w:sz w:val="28"/>
          <w:szCs w:val="28"/>
        </w:rPr>
        <w:t>- межбюджетные трансферты, предоставляемые бюджету субъектов Российской Федерации в целях финансового обеспечения расходных обязательств субъектов Российской Федерации и (или) муниципальных образований, возникающих при выполнении полномочий Российской Федерации, переданных для осуществления органам государственной власти субъектов Российской Федерации и (или) органам местного самоуправления в установленном порядке</w:t>
      </w:r>
      <w:proofErr w:type="gramEnd"/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3D3DBC" w:rsidRDefault="003D3DBC">
      <w:pPr>
        <w:ind w:firstLine="34"/>
        <w:rPr>
          <w:rFonts w:ascii="TimesNewRomanPSMT" w:hAnsi="TimesNewRomanPSMT" w:cs="TimesNewRomanPSMT"/>
          <w:sz w:val="28"/>
          <w:szCs w:val="28"/>
        </w:rPr>
      </w:pPr>
    </w:p>
    <w:p w:rsidR="0075288F" w:rsidRDefault="0075288F">
      <w:pPr>
        <w:rPr>
          <w:rFonts w:cs="TimesNewRomanPSMT"/>
          <w:color w:val="333333"/>
          <w:sz w:val="72"/>
          <w:szCs w:val="72"/>
        </w:rPr>
      </w:pPr>
    </w:p>
    <w:p w:rsidR="003D3DBC" w:rsidRDefault="00CD0C2A">
      <w:pPr>
        <w:rPr>
          <w:rFonts w:cs="TimesNewRomanPSMT"/>
          <w:color w:val="333333"/>
          <w:sz w:val="72"/>
          <w:szCs w:val="72"/>
        </w:rPr>
      </w:pPr>
      <w:r>
        <w:rPr>
          <w:rFonts w:cs="TimesNewRomanPSMT"/>
          <w:color w:val="333333"/>
          <w:sz w:val="72"/>
          <w:szCs w:val="72"/>
        </w:rPr>
        <w:lastRenderedPageBreak/>
        <w:t>Контактная информация</w:t>
      </w:r>
    </w:p>
    <w:tbl>
      <w:tblPr>
        <w:tblStyle w:val="af1"/>
        <w:tblW w:w="12838" w:type="dxa"/>
        <w:tblLayout w:type="fixed"/>
        <w:tblLook w:val="04A0"/>
      </w:tblPr>
      <w:tblGrid>
        <w:gridCol w:w="6895"/>
        <w:gridCol w:w="2805"/>
        <w:gridCol w:w="3138"/>
      </w:tblGrid>
      <w:tr w:rsidR="003D3DBC">
        <w:trPr>
          <w:trHeight w:val="711"/>
        </w:trPr>
        <w:tc>
          <w:tcPr>
            <w:tcW w:w="689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Учреждение</w:t>
            </w:r>
          </w:p>
        </w:tc>
        <w:tc>
          <w:tcPr>
            <w:tcW w:w="280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Руководитель</w:t>
            </w:r>
          </w:p>
        </w:tc>
        <w:tc>
          <w:tcPr>
            <w:tcW w:w="3138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График приёма руководителя</w:t>
            </w:r>
          </w:p>
        </w:tc>
      </w:tr>
      <w:tr w:rsidR="003D3DBC">
        <w:trPr>
          <w:trHeight w:val="1740"/>
        </w:trPr>
        <w:tc>
          <w:tcPr>
            <w:tcW w:w="689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Невская застава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.С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анкт-Петербург, ул.Седова д.19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mozastava49@gmail.com</w:t>
            </w:r>
          </w:p>
        </w:tc>
        <w:tc>
          <w:tcPr>
            <w:tcW w:w="280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Карпов Павел Константинович</w:t>
            </w:r>
          </w:p>
        </w:tc>
        <w:tc>
          <w:tcPr>
            <w:tcW w:w="3138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Среда-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  <w:tr w:rsidR="003D3DBC">
        <w:trPr>
          <w:trHeight w:val="1682"/>
        </w:trPr>
        <w:tc>
          <w:tcPr>
            <w:tcW w:w="689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Местная администрация МО Невская застава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Адрес: г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.С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анкт-Петербург, ул.Седова д.19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Телефон/факс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(812)365-19-49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Электронная почта:</w:t>
            </w:r>
            <w:r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mozastava49@gmail.com</w:t>
            </w:r>
          </w:p>
        </w:tc>
        <w:tc>
          <w:tcPr>
            <w:tcW w:w="280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Пронин Алексей Владимирович</w:t>
            </w:r>
          </w:p>
        </w:tc>
        <w:tc>
          <w:tcPr>
            <w:tcW w:w="3138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Вторник -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10.00 до 12.00</w:t>
            </w:r>
          </w:p>
        </w:tc>
      </w:tr>
      <w:tr w:rsidR="003D3DBC">
        <w:trPr>
          <w:trHeight w:val="1443"/>
        </w:trPr>
        <w:tc>
          <w:tcPr>
            <w:tcW w:w="689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805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Печерская Анжела Владимировна</w:t>
            </w:r>
          </w:p>
        </w:tc>
        <w:tc>
          <w:tcPr>
            <w:tcW w:w="3138" w:type="dxa"/>
          </w:tcPr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Вторник -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15.00 до 17.00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Четверг-</w:t>
            </w:r>
          </w:p>
          <w:p w:rsidR="003D3DBC" w:rsidRDefault="00CD0C2A">
            <w:pPr>
              <w:widowControl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 11.00 до 13.00</w:t>
            </w:r>
          </w:p>
        </w:tc>
      </w:tr>
    </w:tbl>
    <w:p w:rsidR="003D3DBC" w:rsidRDefault="003D3DB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Участие граждан в публичных слушаниях по проекту бюджета муниципального образования: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Жители муниципального образования не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позднее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чем за 10 дней до дня проведения публичных слушаний оповещаются о месте и времени их проведения через размещение информации в газете «Невская застава», а также дополнительно в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информационно-телекоммуникационной сети «Интернет» на официальном сайте муниципального образования по адресу http://моневскаязастава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ф/.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проведении публичных слушаний большинством голосов присутствующих избираются председатель и секретарь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собрания. Публичные слушания оформляются протоколом, который подписывают председатель и секретарь собрания.</w:t>
      </w:r>
    </w:p>
    <w:p w:rsidR="003D3DBC" w:rsidRDefault="00CD0C2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публичных слушаний подлежат официальному опубликованию (обнародованию), включая мотивированное обоснование принятых решений.</w:t>
      </w:r>
    </w:p>
    <w:sectPr w:rsidR="003D3DBC" w:rsidSect="003D3DBC">
      <w:footerReference w:type="default" r:id="rId11"/>
      <w:pgSz w:w="16838" w:h="11906" w:orient="landscape"/>
      <w:pgMar w:top="426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F" w:rsidRDefault="00967D3F" w:rsidP="003D3DBC">
      <w:pPr>
        <w:spacing w:after="0" w:line="240" w:lineRule="auto"/>
      </w:pPr>
      <w:r>
        <w:separator/>
      </w:r>
    </w:p>
  </w:endnote>
  <w:endnote w:type="continuationSeparator" w:id="0">
    <w:p w:rsidR="00967D3F" w:rsidRDefault="00967D3F" w:rsidP="003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Italic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-Bold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4766"/>
      <w:docPartObj>
        <w:docPartGallery w:val="Page Numbers (Bottom of Page)"/>
        <w:docPartUnique/>
      </w:docPartObj>
    </w:sdtPr>
    <w:sdtContent>
      <w:p w:rsidR="00CD0C2A" w:rsidRDefault="00CD0C2A">
        <w:pPr>
          <w:pStyle w:val="Footer"/>
          <w:jc w:val="right"/>
        </w:pPr>
        <w:fldSimple w:instr="PAGE">
          <w:r w:rsidR="0075288F">
            <w:rPr>
              <w:noProof/>
            </w:rPr>
            <w:t>2</w:t>
          </w:r>
        </w:fldSimple>
      </w:p>
    </w:sdtContent>
  </w:sdt>
  <w:p w:rsidR="00CD0C2A" w:rsidRDefault="00CD0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F" w:rsidRDefault="00967D3F" w:rsidP="003D3DBC">
      <w:pPr>
        <w:spacing w:after="0" w:line="240" w:lineRule="auto"/>
      </w:pPr>
      <w:r>
        <w:separator/>
      </w:r>
    </w:p>
  </w:footnote>
  <w:footnote w:type="continuationSeparator" w:id="0">
    <w:p w:rsidR="00967D3F" w:rsidRDefault="00967D3F" w:rsidP="003D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BC"/>
    <w:rsid w:val="003D3DBC"/>
    <w:rsid w:val="0075288F"/>
    <w:rsid w:val="00967D3F"/>
    <w:rsid w:val="00C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5F05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A11B28"/>
  </w:style>
  <w:style w:type="character" w:customStyle="1" w:styleId="a4">
    <w:name w:val="Основной текст Знак"/>
    <w:basedOn w:val="a0"/>
    <w:qFormat/>
    <w:rsid w:val="00990B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3A7D9D"/>
  </w:style>
  <w:style w:type="character" w:customStyle="1" w:styleId="a6">
    <w:name w:val="Нижний колонтитул Знак"/>
    <w:basedOn w:val="a0"/>
    <w:uiPriority w:val="99"/>
    <w:qFormat/>
    <w:rsid w:val="003A7D9D"/>
  </w:style>
  <w:style w:type="character" w:customStyle="1" w:styleId="apple-converted-space">
    <w:name w:val="apple-converted-space"/>
    <w:basedOn w:val="a0"/>
    <w:qFormat/>
    <w:rsid w:val="002F541E"/>
  </w:style>
  <w:style w:type="character" w:customStyle="1" w:styleId="a7">
    <w:name w:val="Основной текст с отступом Знак"/>
    <w:basedOn w:val="a0"/>
    <w:uiPriority w:val="99"/>
    <w:semiHidden/>
    <w:qFormat/>
    <w:rsid w:val="006A140C"/>
  </w:style>
  <w:style w:type="paragraph" w:customStyle="1" w:styleId="a8">
    <w:name w:val="Заголовок"/>
    <w:basedOn w:val="a"/>
    <w:next w:val="a9"/>
    <w:qFormat/>
    <w:rsid w:val="00C543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90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sid w:val="00C54312"/>
    <w:rPr>
      <w:rFonts w:cs="Arial"/>
    </w:rPr>
  </w:style>
  <w:style w:type="paragraph" w:customStyle="1" w:styleId="Caption">
    <w:name w:val="Caption"/>
    <w:basedOn w:val="a"/>
    <w:qFormat/>
    <w:rsid w:val="00C543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5431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E95F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54312"/>
  </w:style>
  <w:style w:type="paragraph" w:customStyle="1" w:styleId="Header">
    <w:name w:val="Header"/>
    <w:basedOn w:val="a"/>
    <w:uiPriority w:val="99"/>
    <w:semiHidden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7D9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rsid w:val="001772EB"/>
    <w:pPr>
      <w:spacing w:beforeAutospacing="1" w:afterAutospacing="1" w:line="240" w:lineRule="auto"/>
    </w:pPr>
    <w:rPr>
      <w:rFonts w:ascii="Tahoma" w:eastAsia="SimSun" w:hAnsi="Tahoma" w:cs="Tahoma"/>
      <w:color w:val="0033CC"/>
      <w:sz w:val="18"/>
      <w:szCs w:val="18"/>
      <w:lang w:eastAsia="zh-CN"/>
    </w:rPr>
  </w:style>
  <w:style w:type="paragraph" w:styleId="af">
    <w:name w:val="Body Text Indent"/>
    <w:basedOn w:val="a"/>
    <w:uiPriority w:val="99"/>
    <w:semiHidden/>
    <w:unhideWhenUsed/>
    <w:rsid w:val="006A140C"/>
    <w:pPr>
      <w:spacing w:after="120"/>
      <w:ind w:left="283"/>
    </w:pPr>
  </w:style>
  <w:style w:type="paragraph" w:customStyle="1" w:styleId="Default">
    <w:name w:val="Default"/>
    <w:qFormat/>
    <w:rsid w:val="000B7FB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одержимое врезки"/>
    <w:basedOn w:val="a"/>
    <w:qFormat/>
    <w:rsid w:val="00C54312"/>
  </w:style>
  <w:style w:type="table" w:styleId="af1">
    <w:name w:val="Table Grid"/>
    <w:basedOn w:val="a1"/>
    <w:uiPriority w:val="59"/>
    <w:rsid w:val="001C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dc:description/>
  <cp:lastModifiedBy>buh2</cp:lastModifiedBy>
  <cp:revision>16</cp:revision>
  <cp:lastPrinted>2022-01-26T12:24:00Z</cp:lastPrinted>
  <dcterms:created xsi:type="dcterms:W3CDTF">2021-12-27T13:26:00Z</dcterms:created>
  <dcterms:modified xsi:type="dcterms:W3CDTF">2022-01-26T12:27:00Z</dcterms:modified>
  <dc:language>ru-RU</dc:language>
</cp:coreProperties>
</file>